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M1.3 业务计划与预算BP流程文件-V0.9</w:t>
      </w:r>
    </w:p>
    <w:p>
      <w:pPr>
        <w:spacing w:before="120" w:after="120" w:line="288" w:lineRule="auto"/>
        <w:ind w:left="0" w:firstLine="0"/>
        <w:jc w:val="left"/>
      </w:pPr>
      <w:r>
        <w:rPr>
          <w:rFonts w:eastAsia="等线" w:ascii="Arial" w:cs="Arial" w:hAnsi="Arial"/>
          <w:b w:val="true"/>
          <w:sz w:val="22"/>
        </w:rPr>
        <w:t>M1.3 业务计划与预算BP流程文件-V0.9</w:t>
      </w:r>
    </w:p>
    <w:p>
      <w:pPr>
        <w:spacing w:before="120" w:after="120" w:line="288" w:lineRule="auto"/>
        <w:ind w:left="0" w:firstLine="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M1.3 业务计划与预算BP流程</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 xml:space="preserve"> </w:t>
      </w:r>
      <w:bookmarkEnd w:id="2"/>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文件名称：M1.3 业务计划与预算BP流程说明文件-V0.9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文件编号：MTCV-DSTE-M1.3-P-业务计划与预算BP流程文件-V0.9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生效日期：2025/3/15</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PO：黄镇</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PO：陈赟</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流程组团队成员：潘文贤、吴志伟、张娟、武卫、陈芳、赵鑫旸、岳雯、王晓宇等及2024年流程团队成员</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w:t>
            </w:r>
            <w:r>
              <w:rPr>
                <w:rFonts w:eastAsia="等线" w:ascii="Arial" w:cs="Arial" w:hAnsi="Arial"/>
                <w:b w:val="true"/>
                <w:sz w:val="22"/>
              </w:rPr>
              <w:t>陈赟</w:t>
            </w:r>
          </w:p>
          <w:p>
            <w:pPr>
              <w:spacing w:before="120" w:after="120" w:line="288" w:lineRule="auto"/>
              <w:ind w:left="0"/>
              <w:jc w:val="left"/>
            </w:pPr>
            <w:r>
              <w:rPr>
                <w:rFonts w:eastAsia="等线" w:ascii="Arial" w:cs="Arial" w:hAnsi="Arial"/>
                <w:sz w:val="22"/>
              </w:rPr>
              <w:t>流程PC：隋媛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2025-3-15</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1. </w:t>
      </w:r>
      <w:r>
        <w:rPr>
          <w:rFonts w:eastAsia="等线" w:ascii="Arial" w:cs="Arial" w:hAnsi="Arial"/>
          <w:b w:val="true"/>
          <w:sz w:val="36"/>
        </w:rPr>
        <w:t>目的</w:t>
      </w:r>
      <w:bookmarkEnd w:id="3"/>
    </w:p>
    <w:p>
      <w:pPr>
        <w:spacing w:before="120" w:after="120" w:line="288" w:lineRule="auto"/>
        <w:ind w:left="0" w:firstLine="0"/>
        <w:jc w:val="left"/>
      </w:pPr>
      <w:r>
        <w:rPr>
          <w:rFonts w:eastAsia="等线" w:ascii="Arial" w:cs="Arial" w:hAnsi="Arial"/>
          <w:sz w:val="22"/>
        </w:rPr>
        <w:t>通过对业务计划与预算BP V0.9流程的梳理和发布，完善本流程内各活动的工具方法与互锁机制，提升各组织BP的输出质量与效率，确保此流程可以良好的服务于业务。</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2. </w:t>
      </w:r>
      <w:r>
        <w:rPr>
          <w:rFonts w:eastAsia="等线" w:ascii="Arial" w:cs="Arial" w:hAnsi="Arial"/>
          <w:b w:val="true"/>
          <w:sz w:val="36"/>
        </w:rPr>
        <w:t>适用范围</w:t>
      </w:r>
      <w:bookmarkEnd w:id="4"/>
    </w:p>
    <w:p>
      <w:pPr>
        <w:spacing w:before="120" w:after="120" w:line="288" w:lineRule="auto"/>
        <w:ind w:left="0" w:firstLine="0"/>
        <w:jc w:val="left"/>
      </w:pPr>
      <w:r>
        <w:rPr>
          <w:rFonts w:eastAsia="等线" w:ascii="Arial" w:cs="Arial" w:hAnsi="Arial"/>
          <w:sz w:val="22"/>
        </w:rPr>
        <w:t>本流程适用于 EBG 各行业BU/产品BU/区域（国家） BP设计环节。</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3. </w:t>
      </w:r>
      <w:r>
        <w:rPr>
          <w:rFonts w:eastAsia="等线" w:ascii="Arial" w:cs="Arial" w:hAnsi="Arial"/>
          <w:b w:val="true"/>
          <w:sz w:val="36"/>
        </w:rPr>
        <w:t>名词解释</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395"/>
        <w:gridCol w:w="5490"/>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战略规划</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SP：Strategy Plan</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是企业战略管理的组成部分之一，指基于战略机会点针对长远的发展作出的规划，指代三到五年的长期业务规划。旨在培养企业管理者的战略思维和帮助公司建立稳定发展的业务等。</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年度业务规划</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BP：Business Plan </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企业的年度经营计划，本文的BP特指EBG事业部的年度经营计划。</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CTQ</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Critical-To-Quality</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指支撑企业关键成功因素与战略KPI达成的品质关键点。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指产品/行业/区域（国家）相互之间在机会、目标、问题、策略、行动等方面达成上下一致，步调统一，力出一孔</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六看</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看宏观、看市场、看客户、看竞争、看产业、看技术、看资金</w:t>
            </w:r>
          </w:p>
        </w:tc>
      </w:tr>
    </w:tbl>
    <w:p>
      <w:pPr>
        <w:spacing w:before="120" w:after="120" w:line="288" w:lineRule="auto"/>
        <w:ind w:left="0" w:firstLine="0"/>
        <w:jc w:val="left"/>
      </w:pP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1770"/>
        <w:gridCol w:w="5535"/>
      </w:tblGrid>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岗位描述</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EBG的SP各战略负责人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各SP战略负责人，含各部门及BU总经理</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根据SP的战略方向和要求，导出中长期关键战略举措/SP战略衡量指标/BP关键措施和衡量指标。</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EBG的BP各战略负责人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BG总经理、BG各战略负责人，含各部门及BU总经理</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根据SP的战略设计与规划输入，完成BG的BP制作并评审通过。</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各BU BP负责人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行业BU总经理/产品BU总经理</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根据公司战略指引、SP规划等输入，完成所负责BU的BP制作并评审通过。</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各区域/国家负责人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省区域经理（国内）/国家经理（国际）</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根据BG/行业BU/产品BU的战略指引，BP规划等输入，完成所负责区域（国家）的BP制作并评审通过。</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BP评审委员会</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BG执委会</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对BP的战略承接性、经营目标、关键任务与KPI、组织人才、资源配置等方面进行质量评价，最终给予BP的修正意见。</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5. </w:t>
      </w:r>
      <w:r>
        <w:rPr>
          <w:rFonts w:eastAsia="等线" w:ascii="Arial" w:cs="Arial" w:hAnsi="Arial"/>
          <w:b w:val="true"/>
          <w:sz w:val="36"/>
        </w:rPr>
        <w:t>流程文件说明</w:t>
      </w:r>
      <w:bookmarkEnd w:id="7"/>
    </w:p>
    <w:p>
      <w:pPr>
        <w:pStyle w:val="2"/>
        <w:spacing w:before="320" w:after="120" w:line="288" w:lineRule="auto"/>
        <w:ind w:left="0"/>
        <w:jc w:val="left"/>
        <w:outlineLvl w:val="1"/>
      </w:pPr>
      <w:bookmarkStart w:name="heading_8" w:id="8"/>
      <w:r>
        <w:rPr>
          <w:rFonts w:eastAsia="等线" w:ascii="Arial" w:cs="Arial" w:hAnsi="Arial"/>
          <w:b w:val="true"/>
          <w:color w:val="245bdb"/>
          <w:sz w:val="32"/>
        </w:rPr>
        <w:t xml:space="preserve">5.1 </w:t>
      </w:r>
      <w:r>
        <w:rPr>
          <w:rFonts w:eastAsia="等线" w:ascii="Arial" w:cs="Arial" w:hAnsi="Arial"/>
          <w:b w:val="true"/>
          <w:sz w:val="32"/>
        </w:rPr>
        <w:t>流程卡</w:t>
      </w:r>
      <w:bookmarkEnd w:id="8"/>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5.2 </w:t>
      </w:r>
      <w:r>
        <w:rPr>
          <w:rFonts w:eastAsia="等线" w:ascii="Arial" w:cs="Arial" w:hAnsi="Arial"/>
          <w:b w:val="true"/>
          <w:sz w:val="32"/>
        </w:rPr>
        <w:t>流程图</w:t>
      </w:r>
      <w:bookmarkEnd w:id="9"/>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5.2.1 </w:t>
      </w:r>
      <w:r>
        <w:rPr>
          <w:rFonts w:eastAsia="等线" w:ascii="Arial" w:cs="Arial" w:hAnsi="Arial"/>
          <w:b w:val="true"/>
          <w:sz w:val="30"/>
        </w:rPr>
        <w:t>L2键盘图</w:t>
      </w:r>
      <w:bookmarkEnd w:id="10"/>
    </w:p>
    <w:p>
      <w:pPr>
        <w:spacing w:before="120" w:after="120" w:line="288" w:lineRule="auto"/>
        <w:ind w:left="0"/>
        <w:jc w:val="center"/>
      </w:pPr>
      <w:r>
        <w:drawing>
          <wp:inline distT="0" distR="0" distB="0" distL="0">
            <wp:extent cx="5257800" cy="2562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56222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5.2.2 </w:t>
      </w:r>
      <w:r>
        <w:rPr>
          <w:rFonts w:eastAsia="等线" w:ascii="Arial" w:cs="Arial" w:hAnsi="Arial"/>
          <w:b w:val="true"/>
          <w:sz w:val="30"/>
        </w:rPr>
        <w:t>L2流程图</w:t>
      </w:r>
      <w:bookmarkEnd w:id="11"/>
    </w:p>
    <w:p>
      <w:pPr>
        <w:spacing w:before="120" w:after="120" w:line="288" w:lineRule="auto"/>
        <w:ind w:left="0"/>
        <w:jc w:val="center"/>
      </w:pPr>
      <w:r>
        <w:drawing>
          <wp:inline distT="0" distR="0" distB="0" distL="0">
            <wp:extent cx="5257800" cy="2571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5717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5.2.3 </w:t>
      </w:r>
      <w:r>
        <w:rPr>
          <w:rFonts w:eastAsia="等线" w:ascii="Arial" w:cs="Arial" w:hAnsi="Arial"/>
          <w:b w:val="true"/>
          <w:sz w:val="30"/>
        </w:rPr>
        <w:t>L3流程图</w:t>
      </w:r>
      <w:bookmarkEnd w:id="12"/>
    </w:p>
    <w:p>
      <w:pPr>
        <w:spacing w:before="120" w:after="120" w:line="288" w:lineRule="auto"/>
        <w:ind w:left="0" w:firstLine="0"/>
        <w:jc w:val="left"/>
      </w:pPr>
      <w:r>
        <w:rPr>
          <w:rFonts w:eastAsia="等线" w:ascii="Arial" w:cs="Arial" w:hAnsi="Arial"/>
          <w:sz w:val="22"/>
        </w:rPr>
        <w:t>业务流示意图：</w:t>
      </w:r>
    </w:p>
    <w:p>
      <w:pPr>
        <w:spacing w:before="120" w:after="120" w:line="288" w:lineRule="auto"/>
        <w:ind w:left="0" w:firstLine="0"/>
        <w:jc w:val="left"/>
      </w:pPr>
    </w:p>
    <w:p>
      <w:pPr>
        <w:spacing w:before="120" w:after="120" w:line="288" w:lineRule="auto"/>
        <w:ind w:left="0"/>
        <w:jc w:val="center"/>
      </w:pPr>
      <w:r>
        <w:drawing>
          <wp:inline distT="0" distR="0" distB="0" distL="0">
            <wp:extent cx="5257800" cy="2238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2383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流程图：</w:t>
      </w:r>
    </w:p>
    <w:p>
      <w:pPr>
        <w:spacing w:before="120" w:after="120" w:line="288" w:lineRule="auto"/>
        <w:ind w:left="0"/>
        <w:jc w:val="center"/>
      </w:pPr>
      <w:r>
        <w:drawing>
          <wp:inline distT="0" distR="0" distB="0" distL="0">
            <wp:extent cx="5257800" cy="1866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86690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5.3 </w:t>
      </w:r>
      <w:r>
        <w:rPr>
          <w:rFonts w:eastAsia="等线" w:ascii="Arial" w:cs="Arial" w:hAnsi="Arial"/>
          <w:b w:val="true"/>
          <w:sz w:val="32"/>
        </w:rPr>
        <w:t>流程活动说明</w:t>
      </w:r>
      <w:bookmarkEnd w:id="13"/>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5.3.1 </w:t>
      </w:r>
      <w:r>
        <w:rPr>
          <w:rFonts w:eastAsia="等线" w:ascii="Arial" w:cs="Arial" w:hAnsi="Arial"/>
          <w:b w:val="true"/>
          <w:sz w:val="30"/>
        </w:rPr>
        <w:t>流程说明</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
        <w:gridCol w:w="585"/>
        <w:gridCol w:w="630"/>
        <w:gridCol w:w="1440"/>
        <w:gridCol w:w="465"/>
        <w:gridCol w:w="540"/>
        <w:gridCol w:w="540"/>
        <w:gridCol w:w="540"/>
        <w:gridCol w:w="975"/>
        <w:gridCol w:w="540"/>
        <w:gridCol w:w="585"/>
        <w:gridCol w:w="645"/>
        <w:gridCol w:w="540"/>
      </w:tblGrid>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明确SP战略方向和定义</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各组织BP负责人/BG战略负责人&amp;行业BU总经理&amp;产品BU总经理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明确需要承接的战略与关键举措设计。</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EBG制定的SP</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完整、脱敏且通过评审的SP材料，并对重点内容进行详细解读与说明</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EBG的SP中各战略的详细描述</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清晰、准确的理解战略方向与战略意图</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关键点：如何将BG的关键内容准确的传递给各BP的负责人</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导出中长期关键战略举措/SP战略衡量指标/BP关键措施和衡量指标</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1、BG级：BP负责人/BG战略负责人</w:t>
            </w:r>
          </w:p>
          <w:p>
            <w:pPr>
              <w:spacing w:before="120" w:after="120" w:line="288" w:lineRule="auto"/>
              <w:ind w:left="0"/>
              <w:jc w:val="left"/>
            </w:pPr>
            <w:r>
              <w:rPr>
                <w:rFonts w:eastAsia="等线" w:ascii="Arial" w:cs="Arial" w:hAnsi="Arial"/>
                <w:sz w:val="22"/>
              </w:rPr>
              <w:t>2、BU级：BP负责人/行业BU总经理&amp;产品BU总经理</w:t>
            </w:r>
          </w:p>
          <w:p>
            <w:pPr>
              <w:spacing w:before="120" w:after="120" w:line="288" w:lineRule="auto"/>
              <w:ind w:left="0"/>
              <w:jc w:val="left"/>
            </w:pPr>
            <w:r>
              <w:rPr>
                <w:rFonts w:eastAsia="等线" w:ascii="Arial" w:cs="Arial" w:hAnsi="Arial"/>
                <w:sz w:val="22"/>
              </w:rPr>
              <w:t>3、区域（国家）级：BP负责人/区域经理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BG级：结合战略地图的四层面（财务、客户、内部运作和学习与成长）与KPI池的内容，导出本组织的中长期的关键举措与衡量指标，并通过包括但不限于集中宣讲、经验分享、点对点沟通的方式，将BG的SP、BP设计与各BU&amp;区域（国家）负责人进行拉通与共识。</w:t>
            </w:r>
          </w:p>
          <w:p>
            <w:pPr>
              <w:spacing w:before="120" w:after="120" w:line="288" w:lineRule="auto"/>
              <w:ind w:left="0"/>
              <w:jc w:val="left"/>
            </w:pPr>
            <w:r>
              <w:rPr>
                <w:rFonts w:eastAsia="等线" w:ascii="Arial" w:cs="Arial" w:hAnsi="Arial"/>
                <w:sz w:val="22"/>
              </w:rPr>
              <w:t>2、BU级：承接BG级SP与BP设计。结合战略地图的四层面（财务、客户、内部运作和学习与成长）与KPI池的内容，导出本组织的中长期的关键举措与衡量指标，并通过包括但不限于集中宣讲、经验分享、点对点沟通的方式，将BU的BP设计与各区域（国家）负责人进行拉通与共识。</w:t>
            </w:r>
          </w:p>
          <w:p>
            <w:pPr>
              <w:spacing w:before="120" w:after="120" w:line="288" w:lineRule="auto"/>
              <w:ind w:left="0"/>
              <w:jc w:val="left"/>
            </w:pPr>
            <w:r>
              <w:rPr>
                <w:rFonts w:eastAsia="等线" w:ascii="Arial" w:cs="Arial" w:hAnsi="Arial"/>
                <w:sz w:val="22"/>
              </w:rPr>
              <w:t>3、区域级：承接BG/BU级BP设计。结合战略地图的四层面（财务、客户、内部运作和学习与成长）与KPI池的内容，导出本组织的中长期的关键举措与衡量指标。</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1、BG的SP中各战略及衡量指标的详细描述</w:t>
            </w:r>
          </w:p>
          <w:p>
            <w:pPr>
              <w:spacing w:before="120" w:after="120" w:line="288" w:lineRule="auto"/>
              <w:ind w:left="0"/>
              <w:jc w:val="left"/>
            </w:pPr>
            <w:r>
              <w:rPr>
                <w:rFonts w:eastAsia="等线" w:ascii="Arial" w:cs="Arial" w:hAnsi="Arial"/>
                <w:sz w:val="22"/>
              </w:rPr>
              <w:t>2、BG的SP&amp;BP中各战略及衡量指标的详细描述</w:t>
            </w:r>
          </w:p>
          <w:p>
            <w:pPr>
              <w:spacing w:before="120" w:after="120" w:line="288" w:lineRule="auto"/>
              <w:ind w:left="0"/>
              <w:jc w:val="left"/>
            </w:pPr>
            <w:r>
              <w:rPr>
                <w:rFonts w:eastAsia="等线" w:ascii="Arial" w:cs="Arial" w:hAnsi="Arial"/>
                <w:sz w:val="22"/>
              </w:rPr>
              <w:t>3、BG&amp;BU的BP中各战略及衡量指标的详细描述</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各战略与衡量指标与各组织有清晰的承接关系</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各BU和各区域年度中长期关键措施＆目标</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完整承接各战略与指标，BP评估过程中此部分评审通过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p>
          <w:p>
            <w:pPr>
              <w:spacing w:before="120" w:after="120" w:line="288" w:lineRule="auto"/>
              <w:ind w:left="0"/>
              <w:jc w:val="left"/>
            </w:pPr>
            <w:r>
              <w:rPr>
                <w:rFonts w:eastAsia="等线" w:ascii="Arial" w:cs="Arial" w:hAnsi="Arial"/>
                <w:sz w:val="22"/>
              </w:rPr>
              <w:t>如何保证上级战略被下级BP全部承接</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MXF BLM 关键任务排序方式</w:t>
              </w:r>
            </w:hyperlink>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年度战略机会点选择</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结合六看（区域为六看）洞察本组织的浪潮机会和热点生意。</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上级SP/BP中的市场机会洞察</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覆盖全部行业/产品/地域的市场机会指导</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bp-区域洞察分析材料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覆盖与承接上级SP、BP中的市场空间及机会</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关键点：如何识别出本组织内的重要机会</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《市场洞察6看指导书》：</w:t>
            </w:r>
          </w:p>
          <w:p>
            <w:pPr>
              <w:spacing w:before="120" w:after="120" w:line="288" w:lineRule="auto"/>
              <w:ind w:left="0"/>
              <w:jc w:val="left"/>
            </w:pPr>
            <w:hyperlink r:id="rId9">
              <w:r>
                <w:rPr>
                  <w:rFonts w:eastAsia="等线" w:ascii="Arial" w:cs="Arial" w:hAnsi="Arial"/>
                  <w:color w:val="3370ff"/>
                  <w:sz w:val="22"/>
                </w:rPr>
                <w:t>市场洞察6看指导书</w:t>
              </w:r>
            </w:hyperlink>
          </w:p>
          <w:p>
            <w:pPr>
              <w:spacing w:before="120" w:after="120" w:line="288" w:lineRule="auto"/>
              <w:ind w:left="0"/>
              <w:jc w:val="left"/>
            </w:pPr>
            <w:r>
              <w:rPr>
                <w:rFonts w:eastAsia="等线" w:ascii="Arial" w:cs="Arial" w:hAnsi="Arial"/>
                <w:sz w:val="22"/>
              </w:rPr>
              <w:t>区域六看：看客户、看竞争、看资金部分的指导书</w:t>
            </w:r>
          </w:p>
        </w:tc>
        <w:tc>
          <w:tcPr>
            <w:tcW w:w="540"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看市场模版</w:t>
              </w:r>
            </w:hyperlink>
            <w:r>
              <w:rPr>
                <w:rFonts w:eastAsia="等线" w:ascii="Arial" w:cs="Arial" w:hAnsi="Arial"/>
                <w:sz w:val="22"/>
              </w:rPr>
              <w:br/>
            </w:r>
            <w:hyperlink r:id="rId11">
              <w:r>
                <w:rPr>
                  <w:rFonts w:eastAsia="等线" w:ascii="Arial" w:cs="Arial" w:hAnsi="Arial"/>
                  <w:color w:val="3370ff"/>
                  <w:sz w:val="22"/>
                </w:rPr>
                <w:t>看客户模版</w:t>
              </w:r>
            </w:hyperlink>
            <w:r>
              <w:rPr>
                <w:rFonts w:eastAsia="等线" w:ascii="Arial" w:cs="Arial" w:hAnsi="Arial"/>
                <w:sz w:val="22"/>
              </w:rPr>
              <w:br/>
            </w:r>
            <w:hyperlink r:id="rId12">
              <w:r>
                <w:rPr>
                  <w:rFonts w:eastAsia="等线" w:ascii="Arial" w:cs="Arial" w:hAnsi="Arial"/>
                  <w:color w:val="3370ff"/>
                  <w:sz w:val="22"/>
                </w:rPr>
                <w:t>看竞争模版</w:t>
              </w:r>
            </w:hyperlink>
            <w:r>
              <w:rPr>
                <w:rFonts w:eastAsia="等线" w:ascii="Arial" w:cs="Arial" w:hAnsi="Arial"/>
                <w:sz w:val="22"/>
              </w:rPr>
              <w:br/>
            </w:r>
            <w:hyperlink r:id="rId13">
              <w:r>
                <w:rPr>
                  <w:rFonts w:eastAsia="等线" w:ascii="Arial" w:cs="Arial" w:hAnsi="Arial"/>
                  <w:color w:val="3370ff"/>
                  <w:sz w:val="22"/>
                </w:rPr>
                <w:t>看产业模版</w:t>
              </w:r>
            </w:hyperlink>
            <w:r>
              <w:rPr>
                <w:rFonts w:eastAsia="等线" w:ascii="Arial" w:cs="Arial" w:hAnsi="Arial"/>
                <w:sz w:val="22"/>
              </w:rPr>
              <w:br/>
            </w:r>
            <w:hyperlink r:id="rId14">
              <w:r>
                <w:rPr>
                  <w:rFonts w:eastAsia="等线" w:ascii="Arial" w:cs="Arial" w:hAnsi="Arial"/>
                  <w:color w:val="3370ff"/>
                  <w:sz w:val="22"/>
                </w:rPr>
                <w:t>看技术模版</w:t>
              </w:r>
            </w:hyperlink>
            <w:r>
              <w:rPr>
                <w:rFonts w:eastAsia="等线" w:ascii="Arial" w:cs="Arial" w:hAnsi="Arial"/>
                <w:sz w:val="22"/>
              </w:rPr>
              <w:br/>
            </w:r>
            <w:hyperlink r:id="rId15">
              <w:r>
                <w:rPr>
                  <w:rFonts w:eastAsia="等线" w:ascii="Arial" w:cs="Arial" w:hAnsi="Arial"/>
                  <w:color w:val="3370ff"/>
                  <w:sz w:val="22"/>
                </w:rPr>
                <w:t>看资金模版</w:t>
              </w:r>
            </w:hyperlink>
            <w:r>
              <w:rPr>
                <w:rFonts w:eastAsia="等线" w:ascii="Arial" w:cs="Arial" w:hAnsi="Arial"/>
                <w:sz w:val="22"/>
              </w:rPr>
              <w:br/>
            </w:r>
            <w:r>
              <w:rPr>
                <w:rFonts w:eastAsia="等线" w:ascii="Arial" w:cs="Arial" w:hAnsi="Arial"/>
                <w:sz w:val="22"/>
              </w:rPr>
              <w:t>（区域六看：看客户、看竞争、看资金的模版）</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制定和互锁年度经营目标并评审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结合自身洞察出的结果和部门/系统部的销量目标分解到细分市场/行业/单元/产品/重点客户。</w:t>
            </w:r>
          </w:p>
          <w:p>
            <w:pPr>
              <w:spacing w:before="120" w:after="120" w:line="288" w:lineRule="auto"/>
              <w:ind w:left="0"/>
              <w:jc w:val="left"/>
            </w:pPr>
            <w:r>
              <w:rPr>
                <w:rFonts w:eastAsia="等线" w:ascii="Arial" w:cs="Arial" w:hAnsi="Arial"/>
                <w:sz w:val="22"/>
              </w:rPr>
              <w:t>共分两个阶段：</w:t>
            </w:r>
          </w:p>
          <w:p>
            <w:pPr>
              <w:spacing w:before="120" w:after="120" w:line="288" w:lineRule="auto"/>
              <w:ind w:left="0"/>
              <w:jc w:val="left"/>
            </w:pPr>
            <w:r>
              <w:rPr>
                <w:rFonts w:eastAsia="等线" w:ascii="Arial" w:cs="Arial" w:hAnsi="Arial"/>
                <w:sz w:val="22"/>
              </w:rPr>
              <w:t>1、第一阶段：市场线和产品线互锁</w:t>
            </w:r>
          </w:p>
          <w:p>
            <w:pPr>
              <w:spacing w:before="120" w:after="120" w:line="288" w:lineRule="auto"/>
              <w:ind w:left="0"/>
              <w:jc w:val="left"/>
            </w:pPr>
            <w:r>
              <w:rPr>
                <w:rFonts w:eastAsia="等线" w:ascii="Arial" w:cs="Arial" w:hAnsi="Arial"/>
                <w:sz w:val="22"/>
              </w:rPr>
              <w:t>2、第二阶段：市场/产品线和区域（国家）互锁</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部门SP/BP及下达目标要求</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明确在行业/产品/区域维度要承接的目标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bp-战略所承接的经营目标</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本组织当年的业务目标、产品线目标、重大解决方案和关键组件目标、细分市场目标、重点客户的进入和产出目标（如重客 / HM客户 / 新老客户等）且不仅是对齐数字目标，更重要的是锁住策略和动作</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关键点：经营目标需要行业/产品/区域三方共识</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明确互锁的两个阶段，即强调市场/产品线和国家（区域的互锁），在结果互锁的基础上增加过程互锁</w:t>
            </w:r>
          </w:p>
        </w:tc>
        <w:tc>
          <w:tcPr>
            <w:tcW w:w="645" w:type="dxa"/>
            <w:vMerge w:val="restart"/>
            <w:tcMar>
              <w:top w:type="dxa" w:w="60"/>
              <w:left w:type="dxa" w:w="120"/>
              <w:bottom w:type="dxa" w:w="30"/>
              <w:right w:type="dxa" w:w="120"/>
            </w:tcMar>
          </w:tcPr>
          <w:p>
            <w:pPr>
              <w:spacing w:before="120" w:after="120" w:line="288" w:lineRule="auto"/>
              <w:ind w:left="0"/>
              <w:jc w:val="left"/>
            </w:pPr>
            <w:hyperlink r:id="rId16">
              <w:r>
                <w:rPr>
                  <w:rFonts w:eastAsia="等线" w:ascii="Arial" w:cs="Arial" w:hAnsi="Arial"/>
                  <w:color w:val="3370ff"/>
                  <w:sz w:val="22"/>
                </w:rPr>
                <w:t>结果互锁指导书</w:t>
              </w:r>
            </w:hyperlink>
            <w:r>
              <w:rPr>
                <w:rFonts w:eastAsia="等线" w:ascii="Arial" w:cs="Arial" w:hAnsi="Arial"/>
                <w:sz w:val="22"/>
              </w:rPr>
              <w:br/>
            </w:r>
            <w:r>
              <w:rPr>
                <w:rFonts w:eastAsia="等线" w:ascii="Arial" w:cs="Arial" w:hAnsi="Arial"/>
                <w:sz w:val="22"/>
              </w:rPr>
              <w:t xml:space="preserve"> </w:t>
            </w:r>
            <w:hyperlink r:id="rId17">
              <w:r>
                <w:rPr>
                  <w:rFonts w:eastAsia="等线" w:ascii="Arial" w:cs="Arial" w:hAnsi="Arial"/>
                  <w:color w:val="3370ff"/>
                  <w:sz w:val="22"/>
                </w:rPr>
                <w:t>过程互锁指南</w:t>
              </w:r>
            </w:hyperlink>
            <w:r>
              <w:rPr>
                <w:rFonts w:eastAsia="等线" w:ascii="Arial" w:cs="Arial" w:hAnsi="Arial"/>
                <w:sz w:val="22"/>
              </w:rPr>
              <w:t xml:space="preserve"> </w:t>
            </w:r>
          </w:p>
          <w:p>
            <w:pPr>
              <w:spacing w:before="120" w:after="120" w:line="288" w:lineRule="auto"/>
              <w:ind w:left="0"/>
              <w:jc w:val="left"/>
            </w:pPr>
            <w:hyperlink r:id="rId18">
              <w:r>
                <w:rPr>
                  <w:rFonts w:eastAsia="等线" w:ascii="Arial" w:cs="Arial" w:hAnsi="Arial"/>
                  <w:color w:val="3370ff"/>
                  <w:sz w:val="22"/>
                </w:rPr>
                <w:t>关键任务立项模板</w:t>
              </w:r>
            </w:hyperlink>
          </w:p>
          <w:p>
            <w:pPr>
              <w:spacing w:before="120" w:after="120" w:line="288" w:lineRule="auto"/>
              <w:ind w:left="0"/>
              <w:jc w:val="left"/>
            </w:pPr>
            <w:hyperlink r:id="rId19">
              <w:r>
                <w:rPr>
                  <w:rFonts w:eastAsia="等线" w:ascii="Arial" w:cs="Arial" w:hAnsi="Arial"/>
                  <w:color w:val="3370ff"/>
                  <w:sz w:val="22"/>
                </w:rPr>
                <w:t>BP设计指导文档-BG/BU</w:t>
              </w:r>
            </w:hyperlink>
          </w:p>
          <w:p>
            <w:pPr>
              <w:spacing w:before="120" w:after="120" w:line="288" w:lineRule="auto"/>
              <w:ind w:left="0"/>
              <w:jc w:val="left"/>
            </w:pPr>
            <w:hyperlink r:id="rId20">
              <w:r>
                <w:rPr>
                  <w:rFonts w:eastAsia="等线" w:ascii="Arial" w:cs="Arial" w:hAnsi="Arial"/>
                  <w:color w:val="3370ff"/>
                  <w:sz w:val="22"/>
                </w:rPr>
                <w:t>BP设计指导文档-区域</w:t>
              </w:r>
            </w:hyperlink>
          </w:p>
        </w:tc>
        <w:tc>
          <w:tcPr>
            <w:tcW w:w="540" w:type="dxa"/>
            <w:vMerge w:val="restart"/>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BG 25年业务规划模板</w:t>
              </w:r>
            </w:hyperlink>
          </w:p>
          <w:p>
            <w:pPr>
              <w:spacing w:before="120" w:after="120" w:line="288" w:lineRule="auto"/>
              <w:ind w:left="0"/>
              <w:jc w:val="left"/>
            </w:pPr>
          </w:p>
          <w:p>
            <w:pPr>
              <w:spacing w:before="120" w:after="120" w:line="288" w:lineRule="auto"/>
              <w:ind w:left="0"/>
              <w:jc w:val="left"/>
            </w:pPr>
            <w:hyperlink r:id="rId22">
              <w:r>
                <w:rPr>
                  <w:rFonts w:eastAsia="等线" w:ascii="Arial" w:cs="Arial" w:hAnsi="Arial"/>
                  <w:color w:val="3370ff"/>
                  <w:sz w:val="22"/>
                </w:rPr>
                <w:t>BU 25年业务规划模板</w:t>
              </w:r>
            </w:hyperlink>
          </w:p>
          <w:p>
            <w:pPr>
              <w:spacing w:before="120" w:after="120" w:line="288" w:lineRule="auto"/>
              <w:ind w:left="0"/>
              <w:jc w:val="left"/>
            </w:pPr>
          </w:p>
          <w:p>
            <w:pPr>
              <w:spacing w:before="120" w:after="120" w:line="288" w:lineRule="auto"/>
              <w:ind w:left="0"/>
              <w:jc w:val="left"/>
            </w:pPr>
            <w:hyperlink r:id="rId23">
              <w:r>
                <w:rPr>
                  <w:rFonts w:eastAsia="等线" w:ascii="Arial" w:cs="Arial" w:hAnsi="Arial"/>
                  <w:color w:val="3370ff"/>
                  <w:sz w:val="22"/>
                </w:rPr>
                <w:t xml:space="preserve">BP第二部分-区域/国家25年业务规划模板V2.0 </w:t>
              </w:r>
            </w:hyperlink>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制定年度战略主题和关键任务</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围绕各年度经营目标设定达成的具体路径；</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经营目标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包括销量目标和其他经营目标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bp-承接战略所需的关键任务设计</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与经营目标关联度高，结果可衡量，符合SMART原则</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关键点：关键动作是可以被阶段性衡量与评估的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vMerge w:val="continue"/>
            <w:tcMar>
              <w:top w:type="dxa" w:w="60"/>
              <w:left w:type="dxa" w:w="120"/>
              <w:bottom w:type="dxa" w:w="30"/>
              <w:right w:type="dxa" w:w="120"/>
            </w:tcMar>
          </w:tcPr>
          <w:p>
            <w:pPr>
              <w:spacing w:before="120" w:after="120" w:line="288" w:lineRule="auto"/>
              <w:ind w:left="0"/>
              <w:jc w:val="left"/>
            </w:pPr>
          </w:p>
        </w:tc>
        <w:tc>
          <w:tcPr>
            <w:tcW w:w="540" w:type="dxa"/>
            <w:vMerge w:val="continue"/>
            <w:tcMar>
              <w:top w:type="dxa" w:w="60"/>
              <w:left w:type="dxa" w:w="120"/>
              <w:bottom w:type="dxa" w:w="30"/>
              <w:right w:type="dxa" w:w="120"/>
            </w:tcMar>
          </w:tcPr>
          <w:p>
            <w:pPr>
              <w:spacing w:before="120" w:after="120" w:line="288" w:lineRule="auto"/>
              <w:ind w:left="0"/>
              <w:jc w:val="left"/>
            </w:pP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制定和互锁关键任务CTQ</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结合经营目标与关键任务，形成CTQ表；</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关键任务与经营目标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关键任务可以完全支持经营目标的达成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CTQ表</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战略目标关联性高，可衡量性高，指标计算方法、公式清晰准确</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关键点：保障与战略目标一一对应</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 xml:space="preserve"> CTQ审核要素</w:t>
              </w:r>
            </w:hyperlink>
          </w:p>
          <w:p>
            <w:pPr>
              <w:spacing w:before="120" w:after="120" w:line="288" w:lineRule="auto"/>
              <w:ind w:left="0"/>
              <w:jc w:val="left"/>
            </w:pPr>
          </w:p>
          <w:p>
            <w:pPr>
              <w:spacing w:before="120" w:after="120" w:line="288" w:lineRule="auto"/>
              <w:ind w:left="0"/>
              <w:jc w:val="left"/>
            </w:pPr>
            <w:hyperlink r:id="rId25">
              <w:r>
                <w:rPr>
                  <w:rFonts w:eastAsia="等线" w:ascii="Arial" w:cs="Arial" w:hAnsi="Arial"/>
                  <w:color w:val="3370ff"/>
                  <w:sz w:val="22"/>
                </w:rPr>
                <w:t>CTQ-里程碑设定指导手册</w:t>
              </w:r>
            </w:hyperlink>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制定组织和人才/费用预算和KPI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结合上述设计，完成本组织的人员规划，费用预算规划与KPI</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本组织经营目标与关键任务设计及本组织的能力短板</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明确的上限标准与阿米巴经营要求</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bp-人员规划与资源需求设计</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在达成目标的基础上最大化提升阿米巴经营利润且资源设计围绕解决能力短板展开</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关键点：将能力建设拆分到组织、流程、IT三要素上</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5.打造组织能力-刘弘瑜（脱敏）.pptx</w:t>
              </w:r>
            </w:hyperlink>
          </w:p>
          <w:p>
            <w:pPr>
              <w:spacing w:before="120" w:after="120" w:line="288" w:lineRule="auto"/>
              <w:ind w:left="0"/>
              <w:jc w:val="left"/>
            </w:pPr>
            <w:hyperlink r:id="rId27">
              <w:r>
                <w:rPr>
                  <w:rFonts w:eastAsia="等线" w:ascii="Arial" w:cs="Arial" w:hAnsi="Arial"/>
                  <w:color w:val="3370ff"/>
                  <w:sz w:val="22"/>
                </w:rPr>
                <w:t>MXF 组织能力短板识别和变革规划指导手册</w:t>
              </w:r>
            </w:hyperlink>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发布BP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BP负责人/BG战略负责人&amp;行业BU总经理&amp;产品BU总经理&amp;区域（国家）经理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提交与发布BP，并进行BP述职。评审过后确认本年度区域BP</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部门SP/BP及下达目标要求</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BP模板、相关互锁内容已经确定</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完整的BP材料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可被评审通过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关键点：BP内容符合评审要求</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结合不同组织的评审差异，按照BU/区域/国际更新BP评审自检项与执委评审项</w:t>
            </w:r>
          </w:p>
        </w:tc>
        <w:tc>
          <w:tcPr>
            <w:tcW w:w="645"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BP评审要素-BG/BU</w:t>
              </w:r>
            </w:hyperlink>
          </w:p>
          <w:p>
            <w:pPr>
              <w:spacing w:before="120" w:after="120" w:line="288" w:lineRule="auto"/>
              <w:ind w:left="0"/>
              <w:jc w:val="left"/>
            </w:pPr>
            <w:hyperlink r:id="rId29">
              <w:r>
                <w:rPr>
                  <w:rFonts w:eastAsia="等线" w:ascii="Arial" w:cs="Arial" w:hAnsi="Arial"/>
                  <w:color w:val="3370ff"/>
                  <w:sz w:val="22"/>
                </w:rPr>
                <w:t>BP评审要素-区域</w:t>
              </w:r>
            </w:hyperlink>
          </w:p>
          <w:p>
            <w:pPr>
              <w:spacing w:before="120" w:after="120" w:line="288" w:lineRule="auto"/>
              <w:ind w:left="0"/>
              <w:jc w:val="left"/>
            </w:pPr>
            <w:hyperlink r:id="rId30">
              <w:r>
                <w:rPr>
                  <w:rFonts w:eastAsia="等线" w:ascii="Arial" w:cs="Arial" w:hAnsi="Arial"/>
                  <w:color w:val="3370ff"/>
                  <w:sz w:val="22"/>
                </w:rPr>
                <w:t>BP评审要素--国际</w:t>
              </w:r>
            </w:hyperlink>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部门启动/年中回顾/年底复盘</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根据复盘时间点，完成年中/年度的复盘回顾</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复盘目标与要求</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及时完整的最新经营数据</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复盘分析与改善计划</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改善计划符合SMART且被评审通过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w:t>
            </w:r>
          </w:p>
          <w:p>
            <w:pPr>
              <w:spacing w:before="120" w:after="120" w:line="288" w:lineRule="auto"/>
              <w:ind w:left="0"/>
              <w:jc w:val="left"/>
            </w:pPr>
            <w:r>
              <w:rPr>
                <w:rFonts w:eastAsia="等线" w:ascii="Arial" w:cs="Arial" w:hAnsi="Arial"/>
                <w:sz w:val="22"/>
              </w:rPr>
              <w:t>如何通过现象识别背后根因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制作考核书并签署</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BP负责人/行业BU总经理&amp;产品BU总经理&amp;区域（国家）经理</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制作KPI模板并收集KPI形成KPI指标库。组织各部门进行KPI填报，并完成最终评审</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已评审通过的BP中各经营指标与关键举措</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可以汇总形成BG级KPI指标库</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各组织KPI考核任务书</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各组织/岗位KPI指标评审通过</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关键点：关键任务的KPI是否被全部承接</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补齐此活动的具体指导，包括整体运转流程，KPI指标库的生成方式，各组织的KPI评审机制等</w:t>
            </w:r>
          </w:p>
        </w:tc>
        <w:tc>
          <w:tcPr>
            <w:tcW w:w="645" w:type="dxa"/>
            <w:tcMar>
              <w:top w:type="dxa" w:w="60"/>
              <w:left w:type="dxa" w:w="120"/>
              <w:bottom w:type="dxa" w:w="30"/>
              <w:right w:type="dxa" w:w="120"/>
            </w:tcMar>
          </w:tcPr>
          <w:p>
            <w:pPr>
              <w:spacing w:before="120" w:after="120" w:line="288" w:lineRule="auto"/>
              <w:ind w:left="0"/>
              <w:jc w:val="left"/>
            </w:pPr>
            <w:hyperlink r:id="rId31">
              <w:r>
                <w:rPr>
                  <w:rFonts w:eastAsia="等线" w:ascii="Arial" w:cs="Arial" w:hAnsi="Arial"/>
                  <w:color w:val="3370ff"/>
                  <w:sz w:val="22"/>
                </w:rPr>
                <w:t>BP-确定KPI指标指导书</w:t>
              </w:r>
            </w:hyperlink>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spacing w:before="120" w:after="120" w:line="288" w:lineRule="auto"/>
        <w:ind w:left="0" w:firstLine="420"/>
        <w:jc w:val="left"/>
      </w:pPr>
    </w:p>
    <w:p>
      <w:pPr>
        <w:pStyle w:val="3"/>
        <w:spacing w:before="300" w:after="120" w:line="288" w:lineRule="auto"/>
        <w:ind w:left="0"/>
        <w:jc w:val="left"/>
        <w:outlineLvl w:val="2"/>
      </w:pPr>
      <w:bookmarkStart w:name="heading_15" w:id="15"/>
      <w:r>
        <w:rPr>
          <w:rFonts w:eastAsia="等线" w:ascii="Arial" w:cs="Arial" w:hAnsi="Arial"/>
          <w:b w:val="true"/>
          <w:color w:val="245bdb"/>
          <w:sz w:val="30"/>
        </w:rPr>
        <w:t xml:space="preserve">5.3.2 </w:t>
      </w:r>
      <w:r>
        <w:rPr>
          <w:rFonts w:eastAsia="等线" w:ascii="Arial" w:cs="Arial" w:hAnsi="Arial"/>
          <w:b w:val="true"/>
          <w:sz w:val="30"/>
        </w:rPr>
        <w:t>主要角色活动说明</w:t>
      </w:r>
      <w:bookmarkEnd w:id="15"/>
    </w:p>
    <w:p>
      <w:pPr>
        <w:pStyle w:val="4"/>
        <w:spacing w:before="260" w:after="120" w:line="288" w:lineRule="auto"/>
        <w:ind w:left="0"/>
        <w:jc w:val="left"/>
        <w:outlineLvl w:val="3"/>
      </w:pPr>
      <w:bookmarkStart w:name="heading_16" w:id="16"/>
      <w:r>
        <w:rPr>
          <w:rFonts w:eastAsia="等线" w:ascii="Arial" w:cs="Arial" w:hAnsi="Arial"/>
          <w:b w:val="true"/>
          <w:color w:val="245bdb"/>
          <w:sz w:val="28"/>
        </w:rPr>
        <w:t xml:space="preserve">5.3.2.1 </w:t>
      </w:r>
      <w:r>
        <w:rPr>
          <w:rFonts w:eastAsia="等线" w:ascii="Arial" w:cs="Arial" w:hAnsi="Arial"/>
          <w:b w:val="true"/>
          <w:sz w:val="28"/>
        </w:rPr>
        <w:t>BG负责人岗位活动说明：</w:t>
      </w:r>
      <w:bookmarkEnd w:id="16"/>
    </w:p>
    <w:p>
      <w:pPr>
        <w:spacing w:before="120" w:after="120" w:line="288" w:lineRule="auto"/>
        <w:ind w:left="0" w:firstLine="0"/>
        <w:jc w:val="left"/>
      </w:pPr>
      <w:r>
        <w:rPr>
          <w:rFonts w:eastAsia="等线" w:ascii="Arial" w:cs="Arial" w:hAnsi="Arial"/>
          <w:sz w:val="22"/>
        </w:rPr>
        <w:t>BG BP负责人包括：BG总经理、BG各战略负责人，含各部门及BU总经理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color w:val="245bdb"/>
          <w:sz w:val="28"/>
        </w:rPr>
        <w:t xml:space="preserve">5.3.2.2 </w:t>
      </w:r>
      <w:r>
        <w:rPr>
          <w:rFonts w:eastAsia="等线" w:ascii="Arial" w:cs="Arial" w:hAnsi="Arial"/>
          <w:b w:val="true"/>
          <w:sz w:val="28"/>
        </w:rPr>
        <w:t>BU负责人岗位活动说明：</w:t>
      </w:r>
      <w:bookmarkEnd w:id="17"/>
    </w:p>
    <w:p>
      <w:pPr>
        <w:spacing w:before="120" w:after="120" w:line="288" w:lineRule="auto"/>
        <w:ind w:left="0" w:firstLine="0"/>
        <w:jc w:val="left"/>
      </w:pPr>
      <w:r>
        <w:rPr>
          <w:rFonts w:eastAsia="等线" w:ascii="Arial" w:cs="Arial" w:hAnsi="Arial"/>
          <w:sz w:val="22"/>
        </w:rPr>
        <w:t>BU负责人包含：系统部总经理、产品BU总经理岗位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r>
        <w:rPr>
          <w:rFonts w:eastAsia="等线" w:ascii="Arial" w:cs="Arial" w:hAnsi="Arial"/>
          <w:b w:val="true"/>
          <w:color w:val="245bdb"/>
          <w:sz w:val="28"/>
        </w:rPr>
        <w:t xml:space="preserve">5.3.2.3 </w:t>
      </w:r>
      <w:r>
        <w:rPr>
          <w:rFonts w:eastAsia="等线" w:ascii="Arial" w:cs="Arial" w:hAnsi="Arial"/>
          <w:b w:val="true"/>
          <w:sz w:val="28"/>
        </w:rPr>
        <w:t>各区域（国家）BP负责人活动说明：</w:t>
      </w:r>
      <w:bookmarkEnd w:id="18"/>
    </w:p>
    <w:p>
      <w:pPr>
        <w:spacing w:before="120" w:after="120" w:line="288" w:lineRule="auto"/>
        <w:ind w:left="0" w:firstLine="0"/>
        <w:jc w:val="left"/>
      </w:pPr>
      <w:r>
        <w:rPr>
          <w:rFonts w:eastAsia="等线" w:ascii="Arial" w:cs="Arial" w:hAnsi="Arial"/>
          <w:sz w:val="22"/>
        </w:rPr>
        <w:t>各区域（国家）BP负责人包含：区域经理、国家代表岗位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b w:val="true"/>
          <w:color w:val="245bdb"/>
          <w:sz w:val="32"/>
        </w:rPr>
        <w:t xml:space="preserve">5.4 </w:t>
      </w:r>
      <w:r>
        <w:rPr>
          <w:rFonts w:eastAsia="等线" w:ascii="Arial" w:cs="Arial" w:hAnsi="Arial"/>
          <w:b w:val="true"/>
          <w:sz w:val="32"/>
        </w:rPr>
        <w:t>KCP、KDP指导书</w:t>
      </w:r>
      <w:bookmarkEnd w:id="19"/>
    </w:p>
    <w:p>
      <w:pPr>
        <w:spacing w:before="120" w:after="120" w:line="288" w:lineRule="auto"/>
        <w:ind w:left="0" w:firstLine="0"/>
        <w:jc w:val="left"/>
      </w:pPr>
      <w:r>
        <w:rPr>
          <w:rFonts w:eastAsia="等线" w:ascii="Arial" w:cs="Arial" w:hAnsi="Arial"/>
          <w:i w:val="true"/>
          <w:color w:val="d83931"/>
          <w:sz w:val="22"/>
        </w:rPr>
        <w:t>撰写说明：KCP/KDP说明，要讲清楚，这个KCP/KDP活动的意义和价值</w:t>
      </w:r>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1"/>
        <w:spacing w:before="380" w:after="140" w:line="288" w:lineRule="auto"/>
        <w:ind w:left="0"/>
        <w:jc w:val="left"/>
        <w:outlineLvl w:val="0"/>
      </w:pPr>
      <w:bookmarkStart w:name="heading_20" w:id="20"/>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0"/>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本文档自发布之日起生效。</w:t>
      </w:r>
    </w:p>
    <w:p>
      <w:pPr>
        <w:pStyle w:val="1"/>
        <w:spacing w:before="380" w:after="140" w:line="288" w:lineRule="auto"/>
        <w:ind w:left="0"/>
        <w:jc w:val="left"/>
        <w:outlineLvl w:val="0"/>
      </w:pPr>
      <w:bookmarkStart w:name="heading_21" w:id="21"/>
      <w:r>
        <w:rPr>
          <w:rFonts w:eastAsia="等线" w:ascii="Arial" w:cs="Arial" w:hAnsi="Arial"/>
          <w:b w:val="true"/>
          <w:color w:val="245bdb"/>
          <w:sz w:val="36"/>
        </w:rPr>
        <w:t xml:space="preserve">7. </w:t>
      </w:r>
      <w:r>
        <w:rPr>
          <w:rFonts w:eastAsia="等线" w:ascii="Arial" w:cs="Arial" w:hAnsi="Arial"/>
          <w:b w:val="true"/>
          <w:sz w:val="36"/>
        </w:rPr>
        <w:t>流程运转机制</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667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业务计划与流程预算BP</w:t>
            </w:r>
          </w:p>
        </w:tc>
        <w:tc>
          <w:tcPr>
            <w:tcW w:w="6675" w:type="dxa"/>
            <w:tcMar>
              <w:top w:type="dxa" w:w="60"/>
              <w:left w:type="dxa" w:w="120"/>
              <w:bottom w:type="dxa" w:w="30"/>
              <w:right w:type="dxa" w:w="120"/>
            </w:tcMar>
          </w:tcPr>
          <w:p>
            <w:pPr>
              <w:spacing w:before="120" w:after="120" w:line="288" w:lineRule="auto"/>
              <w:ind w:left="0"/>
              <w:jc w:val="left"/>
            </w:pPr>
            <w:hyperlink r:id="rId32">
              <w:r>
                <w:rPr>
                  <w:rFonts w:eastAsia="等线" w:ascii="Arial" w:cs="Arial" w:hAnsi="Arial"/>
                  <w:color w:val="3370ff"/>
                  <w:sz w:val="22"/>
                </w:rPr>
                <w:t>计划与预算BP流程运转机制</w:t>
              </w:r>
            </w:hyperlink>
          </w:p>
        </w:tc>
      </w:tr>
    </w:tbl>
    <w:p>
      <w:pPr>
        <w:pStyle w:val="1"/>
        <w:spacing w:before="380" w:after="140" w:line="288" w:lineRule="auto"/>
        <w:ind w:left="0"/>
        <w:jc w:val="left"/>
        <w:outlineLvl w:val="0"/>
      </w:pPr>
      <w:bookmarkStart w:name="heading_22" w:id="22"/>
      <w:r>
        <w:rPr>
          <w:rFonts w:eastAsia="等线" w:ascii="Arial" w:cs="Arial" w:hAnsi="Arial"/>
          <w:b w:val="true"/>
          <w:color w:val="245bdb"/>
          <w:sz w:val="36"/>
        </w:rPr>
        <w:t xml:space="preserve">8. </w:t>
      </w:r>
      <w:r>
        <w:rPr>
          <w:rFonts w:eastAsia="等线" w:ascii="Arial" w:cs="Arial" w:hAnsi="Arial"/>
          <w:b w:val="true"/>
          <w:sz w:val="36"/>
        </w:rPr>
        <w:t>IT系统支持表</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1935"/>
        <w:gridCol w:w="1680"/>
        <w:gridCol w:w="840"/>
        <w:gridCol w:w="840"/>
        <w:gridCol w:w="1215"/>
        <w:gridCol w:w="840"/>
      </w:tblGrid>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30" w:type="dxa"/>
            <w:tcMar>
              <w:top w:type="dxa" w:w="60"/>
              <w:left w:type="dxa" w:w="120"/>
              <w:bottom w:type="dxa" w:w="30"/>
              <w:right w:type="dxa" w:w="120"/>
            </w:tcMar>
          </w:tcPr>
          <w:p>
            <w:pPr>
              <w:spacing w:before="120" w:after="120" w:line="288" w:lineRule="auto"/>
              <w:ind w:left="0"/>
              <w:jc w:val="left"/>
            </w:pP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68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23" w:id="23"/>
      <w:bookmarkEnd w:id="23"/>
    </w:p>
    <w:p>
      <w:pPr>
        <w:spacing w:before="120" w:after="120" w:line="288" w:lineRule="auto"/>
        <w:ind w:left="0" w:firstLine="0"/>
        <w:jc w:val="left"/>
      </w:pPr>
    </w:p>
    <w:sectPr>
      <w:footerReference w:type="default" r:id="rId3"/>
      <w:headerReference w:type="default" r:id="rId3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file/U4zdbcJ24orgS3xbgSecIFbwnVc" TargetMode="External" Type="http://schemas.openxmlformats.org/officeDocument/2006/relationships/hyperlink"/><Relationship Id="rId11" Target="https://ruijie.feishu.cn/file/Na6oba4gMoVXhfxzhmic2tkUnGc" TargetMode="External" Type="http://schemas.openxmlformats.org/officeDocument/2006/relationships/hyperlink"/><Relationship Id="rId12" Target="https://ruijie.feishu.cn/file/VyvlbOX6Fou7CYxeZElc4kEjn2e" TargetMode="External" Type="http://schemas.openxmlformats.org/officeDocument/2006/relationships/hyperlink"/><Relationship Id="rId13" Target="https://ruijie.feishu.cn/slides/K8rLs5eeRlyMmNd5mffcMQ0lnvd" TargetMode="External" Type="http://schemas.openxmlformats.org/officeDocument/2006/relationships/hyperlink"/><Relationship Id="rId14" Target="https://ruijie.feishu.cn/slides/KwjpsaboNlAwHbdFOTEcFNAEnYb" TargetMode="External" Type="http://schemas.openxmlformats.org/officeDocument/2006/relationships/hyperlink"/><Relationship Id="rId15" Target="https://ruijie.feishu.cn/slides/HJyJs57WelT4yhdkLJicgwWLnMc" TargetMode="External" Type="http://schemas.openxmlformats.org/officeDocument/2006/relationships/hyperlink"/><Relationship Id="rId16" Target="https://ruijie.feishu.cn/docx/UyihdiGfrolBOPxkk2Pc0iugngW" TargetMode="External" Type="http://schemas.openxmlformats.org/officeDocument/2006/relationships/hyperlink"/><Relationship Id="rId17" Target="https://ruijie.feishu.cn/docx/Kr08dE4wio5wmExWT1Gc5ulBnXf" TargetMode="External" Type="http://schemas.openxmlformats.org/officeDocument/2006/relationships/hyperlink"/><Relationship Id="rId18" Target="https://ruijie.feishu.cn/wiki/Mx3qwE2BOirXpBkCauHc5WINndd" TargetMode="External" Type="http://schemas.openxmlformats.org/officeDocument/2006/relationships/hyperlink"/><Relationship Id="rId19" Target="https://ruijie.feishu.cn/docx/DJnVdvCfdoaHrDx7R2hc87wNnHf" TargetMode="External" Type="http://schemas.openxmlformats.org/officeDocument/2006/relationships/hyperlink"/><Relationship Id="rId2" Target="styles.xml" Type="http://schemas.openxmlformats.org/officeDocument/2006/relationships/styles"/><Relationship Id="rId20" Target="https://ruijie.feishu.cn/wiki/N5WKwUgx6izR9hkeJ3icyilynOf" TargetMode="External" Type="http://schemas.openxmlformats.org/officeDocument/2006/relationships/hyperlink"/><Relationship Id="rId21" Target="https://ruijie.feishu.cn/docx/Wmx1dZjhqoF9Y0xTIftcwmryncf" TargetMode="External" Type="http://schemas.openxmlformats.org/officeDocument/2006/relationships/hyperlink"/><Relationship Id="rId22" Target="https://ruijie.feishu.cn/docx/Dc7ydx2aToHshwx4Z8vc77Obnce?from=create_suite_copy&amp;previous_navigation_time=1741681260329" TargetMode="External" Type="http://schemas.openxmlformats.org/officeDocument/2006/relationships/hyperlink"/><Relationship Id="rId23" Target="https://ruijie.feishu.cn/docx/ItMVdG0nIogb3RxSJguc8ptinod" TargetMode="External" Type="http://schemas.openxmlformats.org/officeDocument/2006/relationships/hyperlink"/><Relationship Id="rId24" Target="https://ruijie.feishu.cn/sheets/L8MAsfDtlhlALJtsy7Rct24jnmb?sheet=VimMkK" TargetMode="External" Type="http://schemas.openxmlformats.org/officeDocument/2006/relationships/hyperlink"/><Relationship Id="rId25" Target="https://ruijie.feishu.cn/wiki/YfpVwShgLiVIGokUZRPcsKTGnDe" TargetMode="External" Type="http://schemas.openxmlformats.org/officeDocument/2006/relationships/hyperlink"/><Relationship Id="rId26" Target="https://ruijie.feishu.cn/file/U1Kgblqcyo4LWcxqYvmc2PWenMb?from=from_copylink" TargetMode="External" Type="http://schemas.openxmlformats.org/officeDocument/2006/relationships/hyperlink"/><Relationship Id="rId27" Target="https://ruijie.feishu.cn/wiki/Zs6mwiC5QiDVmvkTiNRcyJ4Fnwg" TargetMode="External" Type="http://schemas.openxmlformats.org/officeDocument/2006/relationships/hyperlink"/><Relationship Id="rId28" Target="https://ruijie.feishu.cn/sheets/T4JRsQFn1hFEpBt2lVAcXv6inzf?sheet=ukKrrV" TargetMode="External" Type="http://schemas.openxmlformats.org/officeDocument/2006/relationships/hyperlink"/><Relationship Id="rId29" Target="https://ruijie.feishu.cn/sheets/V9Dxs080HhjWaqtoVcIchK8onHh?sheet=ukKrrV" TargetMode="External" Type="http://schemas.openxmlformats.org/officeDocument/2006/relationships/hyperlink"/><Relationship Id="rId3" Target="footer1.xml" Type="http://schemas.openxmlformats.org/officeDocument/2006/relationships/footer"/><Relationship Id="rId30" Target="https://ruijie.feishu.cn/sheets/EAyIsnI0chIVimt2QlycqkFOnpm?sheet=b48cf2" TargetMode="External" Type="http://schemas.openxmlformats.org/officeDocument/2006/relationships/hyperlink"/><Relationship Id="rId31" Target="https://ruijie.feishu.cn/wiki/LoEsweVk6icQwak5maZcXl8Nnwd?from=from_copylink" TargetMode="External" Type="http://schemas.openxmlformats.org/officeDocument/2006/relationships/hyperlink"/><Relationship Id="rId32" Target="https://ruijie.feishu.cn/docx/C1AQdeJ1Joa9G1xO5dLcZJ1qnud" TargetMode="External" Type="http://schemas.openxmlformats.org/officeDocument/2006/relationships/hyperlink"/><Relationship Id="rId33" Target="header1.xml" Type="http://schemas.openxmlformats.org/officeDocument/2006/relationships/head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ruijie.feishu.cn/wiki/Vvdww7cmJihm53k0rU3cPfxDnhb" TargetMode="External" Type="http://schemas.openxmlformats.org/officeDocument/2006/relationships/hyperlink"/><Relationship Id="rId9" Target="https://ruijie.feishu.cn/wiki/ByPswlP7dic3Igkcq51c5wZCnSb"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2025-05-13T08:56:55Z</dcterms:created>
  <dc:creator>Apache POI</dc:creator>
</cp:coreProperties>
</file>