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 xml:space="preserve">M1.4 管理战略执行与监督流程说明文件-V0.9 </w:t>
      </w:r>
    </w:p>
    <w:p>
      <w:pPr>
        <w:spacing w:before="120" w:after="120" w:line="288" w:lineRule="auto"/>
        <w:ind w:left="0" w:firstLine="0"/>
        <w:jc w:val="left"/>
      </w:pPr>
      <w:r>
        <w:rPr>
          <w:rFonts w:eastAsia="等线" w:ascii="Arial" w:cs="Arial" w:hAnsi="Arial"/>
          <w:b w:val="true"/>
          <w:sz w:val="22"/>
        </w:rPr>
        <w:t xml:space="preserve">M1.4 管理战略执行与监督流程说明文件-V0.9 </w:t>
      </w:r>
    </w:p>
    <w:p>
      <w:pPr>
        <w:spacing w:before="120" w:after="120" w:line="288" w:lineRule="auto"/>
        <w:ind w:left="0" w:firstLine="0"/>
        <w:jc w:val="right"/>
      </w:pPr>
      <w:r>
        <w:rPr>
          <w:rFonts w:eastAsia="等线" w:ascii="Arial" w:cs="Arial" w:hAnsi="Arial"/>
          <w:sz w:val="22"/>
        </w:rPr>
        <w:t>密级：B</w:t>
      </w:r>
    </w:p>
    <w:p>
      <w:pPr>
        <w:spacing w:before="120" w:after="120" w:line="288" w:lineRule="auto"/>
        <w:ind w:left="0" w:firstLine="0"/>
        <w:jc w:val="left"/>
      </w:pPr>
    </w:p>
    <w:p>
      <w:pPr>
        <w:pStyle w:val="1"/>
        <w:spacing w:before="380" w:after="140" w:line="288" w:lineRule="auto"/>
        <w:ind w:left="0"/>
        <w:jc w:val="center"/>
        <w:outlineLvl w:val="0"/>
      </w:pPr>
      <w:bookmarkStart w:name="heading_0" w:id="0"/>
      <w:r>
        <w:rPr>
          <w:rFonts w:eastAsia="等线" w:ascii="Arial" w:cs="Arial" w:hAnsi="Arial"/>
          <w:b w:val="true"/>
          <w:sz w:val="36"/>
        </w:rPr>
        <w:t xml:space="preserve">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M1.4 管理战略执行与监督流程</w:t>
      </w:r>
      <w:bookmarkEnd w:id="2"/>
    </w:p>
    <w:p>
      <w:pPr>
        <w:spacing w:before="120" w:after="120" w:line="288" w:lineRule="auto"/>
        <w:ind w:left="0" w:firstLine="0"/>
        <w:jc w:val="left"/>
      </w:pPr>
    </w:p>
    <w:p>
      <w:pPr>
        <w:pStyle w:val="1"/>
        <w:spacing w:before="380" w:after="140" w:line="288" w:lineRule="auto"/>
        <w:ind w:left="0"/>
        <w:jc w:val="center"/>
        <w:outlineLvl w:val="0"/>
      </w:pPr>
      <w:bookmarkStart w:name="heading_3" w:id="3"/>
      <w:r>
        <w:rPr>
          <w:rFonts w:eastAsia="等线" w:ascii="Arial" w:cs="Arial" w:hAnsi="Arial"/>
          <w:b w:val="true"/>
          <w:sz w:val="36"/>
        </w:rPr>
        <w:t xml:space="preserve"> </w:t>
      </w:r>
      <w:bookmarkEnd w:id="3"/>
    </w:p>
    <w:p>
      <w:pPr>
        <w:spacing w:before="120" w:after="120" w:line="288" w:lineRule="auto"/>
        <w:ind w:left="0" w:firstLine="0"/>
        <w:jc w:val="center"/>
      </w:pP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350"/>
        <w:gridCol w:w="1350"/>
        <w:gridCol w:w="1215"/>
      </w:tblGrid>
      <w:tr>
        <w:tc>
          <w:tcPr>
            <w:tcW w:w="571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文件名称：M1.4管理战略执行与监督流程说明文件-V0.9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70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文件编号：MTCV-DSTE-M1.4-P-管理战略执行与监督流程-V0.9</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256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生效日期：2025/4/3</w:t>
            </w: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PO：黄镇</w:t>
            </w:r>
          </w:p>
        </w:tc>
        <w:tc>
          <w:tcPr>
            <w:tcW w:w="56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PO：黄镇</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3915" w:type="dxa"/>
            <w:hMerge w:val="continue"/>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流程组团队成员：刘建</w:t>
            </w:r>
          </w:p>
        </w:tc>
        <w:tc>
          <w:tcPr>
            <w:tcW w:w="1350" w:type="dxa"/>
            <w:hMerge w:val="continue"/>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455"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215" w:type="dxa"/>
            <w:h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流程PO：黄镇</w:t>
            </w:r>
          </w:p>
          <w:p>
            <w:pPr>
              <w:spacing w:before="120" w:after="120" w:line="288" w:lineRule="auto"/>
              <w:ind w:left="0"/>
              <w:jc w:val="left"/>
            </w:pPr>
            <w:r>
              <w:rPr>
                <w:rFonts w:eastAsia="等线" w:ascii="Arial" w:cs="Arial" w:hAnsi="Arial"/>
                <w:sz w:val="22"/>
              </w:rPr>
              <w:t>流程PC：隋媛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黄镇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2024-4-3</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45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4" w:id="4"/>
      <w:r>
        <w:rPr>
          <w:rFonts w:eastAsia="等线" w:ascii="Arial" w:cs="Arial" w:hAnsi="Arial"/>
          <w:b w:val="true"/>
          <w:color w:val="245bdb"/>
          <w:sz w:val="36"/>
        </w:rPr>
        <w:t xml:space="preserve">1. </w:t>
      </w:r>
      <w:r>
        <w:rPr>
          <w:rFonts w:eastAsia="等线" w:ascii="Arial" w:cs="Arial" w:hAnsi="Arial"/>
          <w:b w:val="true"/>
          <w:sz w:val="36"/>
        </w:rPr>
        <w:t>目的</w:t>
      </w:r>
      <w:bookmarkEnd w:id="4"/>
    </w:p>
    <w:p>
      <w:pPr>
        <w:spacing w:before="120" w:after="120" w:line="288" w:lineRule="auto"/>
        <w:ind w:left="0" w:firstLine="0"/>
        <w:jc w:val="left"/>
      </w:pPr>
      <w:r>
        <w:rPr>
          <w:rFonts w:eastAsia="等线" w:ascii="Arial" w:cs="Arial" w:hAnsi="Arial"/>
          <w:sz w:val="22"/>
        </w:rPr>
        <w:t>通过构建有效的战略执行与监督流程，包括滚动管理经营目标、管理战略主题和关键任务，BP复盘及预算审视，使得组织能够在动态环境中保持战略方向的准确性和实施效率，确保战略目标的达成。这是组织在竞争激烈的市场中持续成长和发展的关键。</w:t>
      </w:r>
    </w:p>
    <w:p>
      <w:pPr>
        <w:pStyle w:val="1"/>
        <w:spacing w:before="380" w:after="140" w:line="288" w:lineRule="auto"/>
        <w:ind w:left="0"/>
        <w:jc w:val="left"/>
        <w:outlineLvl w:val="0"/>
      </w:pPr>
      <w:bookmarkStart w:name="heading_5" w:id="5"/>
      <w:r>
        <w:rPr>
          <w:rFonts w:eastAsia="等线" w:ascii="Arial" w:cs="Arial" w:hAnsi="Arial"/>
          <w:b w:val="true"/>
          <w:color w:val="245bdb"/>
          <w:sz w:val="36"/>
        </w:rPr>
        <w:t xml:space="preserve">2. </w:t>
      </w:r>
      <w:r>
        <w:rPr>
          <w:rFonts w:eastAsia="等线" w:ascii="Arial" w:cs="Arial" w:hAnsi="Arial"/>
          <w:b w:val="true"/>
          <w:sz w:val="36"/>
        </w:rPr>
        <w:t>适用范围</w:t>
      </w:r>
      <w:bookmarkEnd w:id="5"/>
    </w:p>
    <w:p>
      <w:pPr>
        <w:spacing w:before="120" w:after="120" w:line="288" w:lineRule="auto"/>
        <w:ind w:left="0" w:firstLine="0"/>
        <w:jc w:val="left"/>
      </w:pPr>
      <w:r>
        <w:rPr>
          <w:rFonts w:eastAsia="等线" w:ascii="Arial" w:cs="Arial" w:hAnsi="Arial"/>
          <w:sz w:val="22"/>
        </w:rPr>
        <w:t xml:space="preserve"> 本流程适用于锐捷网络公司EBG全员关于战略管理与监督的管理场景。</w:t>
      </w:r>
    </w:p>
    <w:p>
      <w:pPr>
        <w:pStyle w:val="1"/>
        <w:spacing w:before="380" w:after="140" w:line="288" w:lineRule="auto"/>
        <w:ind w:left="0"/>
        <w:jc w:val="left"/>
        <w:outlineLvl w:val="0"/>
      </w:pPr>
      <w:bookmarkStart w:name="heading_6" w:id="6"/>
      <w:r>
        <w:rPr>
          <w:rFonts w:eastAsia="等线" w:ascii="Arial" w:cs="Arial" w:hAnsi="Arial"/>
          <w:b w:val="true"/>
          <w:color w:val="245bdb"/>
          <w:sz w:val="36"/>
        </w:rPr>
        <w:t xml:space="preserve">3. </w:t>
      </w:r>
      <w:r>
        <w:rPr>
          <w:rFonts w:eastAsia="等线" w:ascii="Arial" w:cs="Arial" w:hAnsi="Arial"/>
          <w:b w:val="true"/>
          <w:sz w:val="36"/>
        </w:rPr>
        <w:t>名词解释</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890"/>
        <w:gridCol w:w="5430"/>
      </w:tblGrid>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名词</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英文</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关键任务</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指统一管理和监控支撑战略规划和年度业务计划目标达成的关键性工作，通过CTQ承接和实现闭环，如新的解决方案开发，关键领域的变革项目。关键任务是从SP和BP解码出来的关键举措在本年度的具体措施,包括行动、阶段性目标、衡量指标、责任部门,是支撑长期战略和短期目标达成的优先工作任务。</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战略规划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SP：Strategy Plan</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是企业战略管理的组成部分之一，指基于战略机会点针对长远的发展作出的规划，指代三到五年的长期业务规划。旨在培养企业管理者的战略思维和帮助公司建立稳定发展的业务等。</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年度业务计划</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BP：Bussiness Plan</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即Business Plan，是指企业的年度经营计划，本文的BP特指EBG事业部的年度经营计划。</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CTQ</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Critical-To-Quality</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指支撑企业关键成功因素与战略KPI达成的品质关键点。</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MBR/QBR</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MBR＝Monthly Business Review指的是月度业务审查</w:t>
            </w:r>
          </w:p>
          <w:p>
            <w:pPr>
              <w:spacing w:before="120" w:after="120" w:line="288" w:lineRule="auto"/>
              <w:ind w:left="0"/>
              <w:jc w:val="left"/>
            </w:pPr>
            <w:r>
              <w:rPr>
                <w:rFonts w:eastAsia="等线" w:ascii="Arial" w:cs="Arial" w:hAnsi="Arial"/>
                <w:sz w:val="22"/>
              </w:rPr>
              <w:t>QBR＝Quarterly Business Review指的是季度业务审查</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一种定期进行的商业评估活动，通常在每个月/季度结束时进行。其目的是评估公司的业务绩效和发展情况，包括收入、利润、市场份额等关键绩效指标（KPI），并根据这些分析结果来制定下个月/季度的业务策略</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滚动目标管理</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动目标管理是指各级经营单元基于目标所作的目标制定、预测、以及围绕业务目标达成跟进等闭环管理。包括：基于金额的：订单预测、开票预测、收入预测、回款预测、付款预测、成本预测、现金流预测、利润预测。</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战略专题</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指对公司及各规划单元等业务及未来发展有重要影响的问题，包括但不限于业务增长、盈利、竞争、新技术、新产业机会、客户关系、质量运作、人才等重大战略性问题</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关键人才</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5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管理组织关键干部，关键任务负责人；管理组织关键高端人才招聘。</w:t>
            </w:r>
          </w:p>
        </w:tc>
      </w:tr>
    </w:tbl>
    <w:p>
      <w:pPr>
        <w:pStyle w:val="1"/>
        <w:spacing w:before="380" w:after="140" w:line="288" w:lineRule="auto"/>
        <w:ind w:left="0"/>
        <w:jc w:val="left"/>
        <w:outlineLvl w:val="0"/>
      </w:pPr>
      <w:bookmarkStart w:name="heading_7" w:id="7"/>
      <w:r>
        <w:rPr>
          <w:rFonts w:eastAsia="等线" w:ascii="Arial" w:cs="Arial" w:hAnsi="Arial"/>
          <w:b w:val="true"/>
          <w:color w:val="245bdb"/>
          <w:sz w:val="36"/>
        </w:rPr>
        <w:t xml:space="preserve">4. </w:t>
      </w:r>
      <w:r>
        <w:rPr>
          <w:rFonts w:eastAsia="等线" w:ascii="Arial" w:cs="Arial" w:hAnsi="Arial"/>
          <w:b w:val="true"/>
          <w:sz w:val="36"/>
        </w:rPr>
        <w:t>职责分工</w:t>
      </w:r>
      <w:bookmarkEnd w:id="7"/>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60"/>
        <w:gridCol w:w="2355"/>
        <w:gridCol w:w="4065"/>
      </w:tblGrid>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岗位描述</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EBG执委会</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作为经营管理决策机构,例行审视战略专题、BP与预算等的执行情况,决策相关改进建议和行动计划</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EBG战略规划负责人</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战略部经理</w:t>
            </w:r>
          </w:p>
        </w:tc>
        <w:tc>
          <w:tcPr>
            <w:tcW w:w="406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根据公司提供的QBR、MBR模板，制作EBG的QBR、MBR模板。制定EBG经营目标的跟进方式。</w:t>
            </w:r>
          </w:p>
          <w:p>
            <w:pPr>
              <w:numPr>
                <w:numId w:val="2"/>
              </w:numPr>
              <w:spacing w:before="120" w:after="120" w:line="288" w:lineRule="auto"/>
              <w:ind w:left="0"/>
              <w:jc w:val="left"/>
            </w:pPr>
            <w:r>
              <w:rPr>
                <w:rFonts w:eastAsia="等线" w:ascii="Arial" w:cs="Arial" w:hAnsi="Arial"/>
                <w:sz w:val="22"/>
              </w:rPr>
              <w:t>组织开展经营分析会。</w:t>
            </w:r>
          </w:p>
          <w:p>
            <w:pPr>
              <w:numPr>
                <w:numId w:val="3"/>
              </w:numPr>
              <w:spacing w:before="120" w:after="120" w:line="288" w:lineRule="auto"/>
              <w:ind w:left="0"/>
              <w:jc w:val="left"/>
            </w:pPr>
            <w:r>
              <w:rPr>
                <w:rFonts w:eastAsia="等线" w:ascii="Arial" w:cs="Arial" w:hAnsi="Arial"/>
                <w:sz w:val="22"/>
              </w:rPr>
              <w:t>对经营目标的完成、关键任务的情况进行跟进。</w:t>
            </w:r>
          </w:p>
          <w:p>
            <w:pPr>
              <w:numPr>
                <w:numId w:val="4"/>
              </w:numPr>
              <w:spacing w:before="120" w:after="120" w:line="288" w:lineRule="auto"/>
              <w:ind w:left="0"/>
              <w:jc w:val="left"/>
            </w:pPr>
            <w:r>
              <w:rPr>
                <w:rFonts w:eastAsia="等线" w:ascii="Arial" w:cs="Arial" w:hAnsi="Arial"/>
                <w:sz w:val="22"/>
              </w:rPr>
              <w:t>组织BP年度复盘</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运营管理专员</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运营管理部的阿米巴专员</w:t>
            </w:r>
          </w:p>
          <w:p>
            <w:pPr>
              <w:spacing w:before="120" w:after="120" w:line="288" w:lineRule="auto"/>
              <w:ind w:left="0"/>
              <w:jc w:val="left"/>
            </w:pPr>
            <w:r>
              <w:rPr>
                <w:rFonts w:eastAsia="等线" w:ascii="Arial" w:cs="Arial" w:hAnsi="Arial"/>
                <w:sz w:val="22"/>
              </w:rPr>
              <w:t>销售运营BP</w:t>
            </w:r>
          </w:p>
          <w:p>
            <w:pPr>
              <w:spacing w:before="120" w:after="120" w:line="288" w:lineRule="auto"/>
              <w:ind w:left="0"/>
              <w:jc w:val="left"/>
            </w:pPr>
            <w:r>
              <w:rPr>
                <w:rFonts w:eastAsia="等线" w:ascii="Arial" w:cs="Arial" w:hAnsi="Arial"/>
                <w:sz w:val="22"/>
              </w:rPr>
              <w:t>数据质量管理部的数据专员</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负责阿米巴报表设计，报表的输出，费用预算和人力预算的回顾、并跟进关键举措及行动计划的落地。</w:t>
            </w:r>
          </w:p>
          <w:p>
            <w:pPr>
              <w:spacing w:before="120" w:after="120" w:line="288" w:lineRule="auto"/>
              <w:ind w:left="0"/>
              <w:jc w:val="left"/>
            </w:pPr>
            <w:r>
              <w:rPr>
                <w:rFonts w:eastAsia="等线" w:ascii="Arial" w:cs="Arial" w:hAnsi="Arial"/>
                <w:sz w:val="22"/>
              </w:rPr>
              <w:t>负责销售报表的设计，及月度销售数据的输出</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行业BU负责人</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行业BU总经理</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负责行业目标的经营分析，关键任务执行与闭环，解决方案上市计划、市场洞察更新，改善闭环的落地以及战略复盘。</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产品BU负责人</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产品BU总经理</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负责产品BU目标的经营分析，关键任务执行与闭环，市场洞察更新，改善闭环的落地以及战略复盘。</w:t>
            </w:r>
          </w:p>
        </w:tc>
      </w:tr>
    </w:tbl>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color w:val="245bdb"/>
          <w:sz w:val="36"/>
        </w:rPr>
        <w:t xml:space="preserve">5. </w:t>
      </w:r>
      <w:r>
        <w:rPr>
          <w:rFonts w:eastAsia="等线" w:ascii="Arial" w:cs="Arial" w:hAnsi="Arial"/>
          <w:b w:val="true"/>
          <w:sz w:val="36"/>
        </w:rPr>
        <w:t>流程文件说明</w:t>
      </w:r>
      <w:bookmarkEnd w:id="8"/>
    </w:p>
    <w:p>
      <w:pPr>
        <w:pStyle w:val="2"/>
        <w:spacing w:before="320" w:after="120" w:line="288" w:lineRule="auto"/>
        <w:ind w:left="0"/>
        <w:jc w:val="left"/>
        <w:outlineLvl w:val="1"/>
      </w:pPr>
      <w:bookmarkStart w:name="heading_9" w:id="9"/>
      <w:r>
        <w:rPr>
          <w:rFonts w:eastAsia="等线" w:ascii="Arial" w:cs="Arial" w:hAnsi="Arial"/>
          <w:b w:val="true"/>
          <w:color w:val="245bdb"/>
          <w:sz w:val="32"/>
        </w:rPr>
        <w:t xml:space="preserve">5.1 </w:t>
      </w:r>
      <w:r>
        <w:rPr>
          <w:rFonts w:eastAsia="等线" w:ascii="Arial" w:cs="Arial" w:hAnsi="Arial"/>
          <w:b w:val="true"/>
          <w:sz w:val="32"/>
        </w:rPr>
        <w:t xml:space="preserve">流程卡 </w:t>
      </w:r>
      <w:bookmarkEnd w:id="9"/>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 w:id="10"/>
      <w:r>
        <w:rPr>
          <w:rFonts w:eastAsia="等线" w:ascii="Arial" w:cs="Arial" w:hAnsi="Arial"/>
          <w:b w:val="true"/>
          <w:color w:val="245bdb"/>
          <w:sz w:val="32"/>
        </w:rPr>
        <w:t xml:space="preserve">5.2 </w:t>
      </w:r>
      <w:r>
        <w:rPr>
          <w:rFonts w:eastAsia="等线" w:ascii="Arial" w:cs="Arial" w:hAnsi="Arial"/>
          <w:b w:val="true"/>
          <w:sz w:val="32"/>
        </w:rPr>
        <w:t>流程图</w:t>
      </w:r>
      <w:bookmarkEnd w:id="10"/>
    </w:p>
    <w:p>
      <w:pPr>
        <w:pStyle w:val="3"/>
        <w:spacing w:before="300" w:after="120" w:line="288" w:lineRule="auto"/>
        <w:ind w:left="0"/>
        <w:jc w:val="left"/>
        <w:outlineLvl w:val="2"/>
      </w:pPr>
      <w:bookmarkStart w:name="heading_11" w:id="11"/>
      <w:r>
        <w:rPr>
          <w:rFonts w:eastAsia="等线" w:ascii="Arial" w:cs="Arial" w:hAnsi="Arial"/>
          <w:b w:val="true"/>
          <w:color w:val="245bdb"/>
          <w:sz w:val="30"/>
        </w:rPr>
        <w:t xml:space="preserve">5.2.1 </w:t>
      </w:r>
      <w:r>
        <w:rPr>
          <w:rFonts w:eastAsia="等线" w:ascii="Arial" w:cs="Arial" w:hAnsi="Arial"/>
          <w:b w:val="true"/>
          <w:sz w:val="30"/>
        </w:rPr>
        <w:t>L2流程框架（键盘图）</w:t>
      </w:r>
      <w:bookmarkEnd w:id="11"/>
    </w:p>
    <w:p>
      <w:pPr>
        <w:spacing w:before="120" w:after="120" w:line="288" w:lineRule="auto"/>
        <w:ind w:left="0" w:firstLine="420"/>
        <w:jc w:val="left"/>
      </w:pPr>
      <w:r>
        <w:rPr>
          <w:rFonts w:eastAsia="等线" w:ascii="Arial" w:cs="Arial" w:hAnsi="Arial"/>
          <w:b w:val="true"/>
          <w:sz w:val="22"/>
        </w:rPr>
        <w:t>1、L2流程键盘图</w:t>
      </w:r>
    </w:p>
    <w:p>
      <w:pPr>
        <w:spacing w:before="120" w:after="120" w:line="288" w:lineRule="auto"/>
        <w:ind w:left="0"/>
        <w:jc w:val="center"/>
      </w:pPr>
      <w:r>
        <w:drawing>
          <wp:inline distT="0" distR="0" distB="0" distL="0">
            <wp:extent cx="5257800" cy="2466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66975"/>
                    </a:xfrm>
                    <a:prstGeom prst="rect">
                      <a:avLst/>
                    </a:prstGeom>
                  </pic:spPr>
                </pic:pic>
              </a:graphicData>
            </a:graphic>
          </wp:inline>
        </w:drawing>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pStyle w:val="3"/>
        <w:spacing w:before="300" w:after="120" w:line="288" w:lineRule="auto"/>
        <w:ind w:left="0"/>
        <w:jc w:val="left"/>
        <w:outlineLvl w:val="2"/>
      </w:pPr>
      <w:bookmarkStart w:name="heading_12" w:id="12"/>
      <w:r>
        <w:rPr>
          <w:rFonts w:eastAsia="等线" w:ascii="Arial" w:cs="Arial" w:hAnsi="Arial"/>
          <w:b w:val="true"/>
          <w:color w:val="245bdb"/>
          <w:sz w:val="30"/>
        </w:rPr>
        <w:t xml:space="preserve">5.2.2 </w:t>
      </w:r>
      <w:r>
        <w:rPr>
          <w:rFonts w:eastAsia="等线" w:ascii="Arial" w:cs="Arial" w:hAnsi="Arial"/>
          <w:b w:val="true"/>
          <w:sz w:val="30"/>
        </w:rPr>
        <w:t>L2流程示意图</w:t>
      </w:r>
      <w:bookmarkEnd w:id="12"/>
    </w:p>
    <w:p>
      <w:pPr>
        <w:spacing w:before="120" w:after="120" w:line="288" w:lineRule="auto"/>
        <w:ind w:left="0"/>
        <w:jc w:val="center"/>
      </w:pPr>
      <w:r>
        <w:drawing>
          <wp:inline distT="0" distR="0" distB="0" distL="0">
            <wp:extent cx="5257800" cy="2209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20980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color w:val="245bdb"/>
          <w:sz w:val="30"/>
        </w:rPr>
        <w:t xml:space="preserve">5.2.3 </w:t>
      </w:r>
      <w:r>
        <w:rPr>
          <w:rFonts w:eastAsia="等线" w:ascii="Arial" w:cs="Arial" w:hAnsi="Arial"/>
          <w:b w:val="true"/>
          <w:sz w:val="30"/>
        </w:rPr>
        <w:t>L3示意图</w:t>
      </w:r>
      <w:bookmarkEnd w:id="13"/>
    </w:p>
    <w:p>
      <w:pPr>
        <w:spacing w:before="120" w:after="120" w:line="288" w:lineRule="auto"/>
        <w:ind w:left="0"/>
        <w:jc w:val="center"/>
      </w:pPr>
      <w:r>
        <w:drawing>
          <wp:inline distT="0" distR="0" distB="0" distL="0">
            <wp:extent cx="5257800" cy="3657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65760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14" w:id="14"/>
      <w:r>
        <w:rPr>
          <w:rFonts w:eastAsia="等线" w:ascii="Arial" w:cs="Arial" w:hAnsi="Arial"/>
          <w:b w:val="true"/>
          <w:color w:val="245bdb"/>
          <w:sz w:val="30"/>
        </w:rPr>
        <w:t xml:space="preserve">5.2.4 </w:t>
      </w:r>
      <w:r>
        <w:rPr>
          <w:rFonts w:eastAsia="等线" w:ascii="Arial" w:cs="Arial" w:hAnsi="Arial"/>
          <w:b w:val="true"/>
          <w:sz w:val="30"/>
        </w:rPr>
        <w:t>L3流程图</w:t>
      </w:r>
      <w:bookmarkEnd w:id="14"/>
    </w:p>
    <w:p>
      <w:pPr>
        <w:spacing w:before="120" w:after="120" w:line="288" w:lineRule="auto"/>
        <w:ind w:left="0"/>
        <w:jc w:val="center"/>
      </w:pPr>
      <w:r>
        <w:drawing>
          <wp:inline distT="0" distR="0" distB="0" distL="0">
            <wp:extent cx="5257800" cy="19526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952625"/>
                    </a:xfrm>
                    <a:prstGeom prst="rect">
                      <a:avLst/>
                    </a:prstGeom>
                  </pic:spPr>
                </pic:pic>
              </a:graphicData>
            </a:graphic>
          </wp:inline>
        </w:drawing>
      </w:r>
    </w:p>
    <w:p>
      <w:pPr>
        <w:pStyle w:val="2"/>
        <w:spacing w:before="320" w:after="120" w:line="288" w:lineRule="auto"/>
        <w:ind w:left="0"/>
        <w:jc w:val="left"/>
        <w:outlineLvl w:val="1"/>
      </w:pPr>
      <w:bookmarkStart w:name="heading_15" w:id="15"/>
      <w:r>
        <w:rPr>
          <w:rFonts w:eastAsia="等线" w:ascii="Arial" w:cs="Arial" w:hAnsi="Arial"/>
          <w:b w:val="true"/>
          <w:color w:val="245bdb"/>
          <w:sz w:val="32"/>
        </w:rPr>
        <w:t xml:space="preserve">5.3 </w:t>
      </w:r>
      <w:r>
        <w:rPr>
          <w:rFonts w:eastAsia="等线" w:ascii="Arial" w:cs="Arial" w:hAnsi="Arial"/>
          <w:b w:val="true"/>
          <w:sz w:val="32"/>
        </w:rPr>
        <w:t>流程活动说明</w:t>
      </w:r>
      <w:bookmarkEnd w:id="15"/>
    </w:p>
    <w:p>
      <w:pPr>
        <w:pStyle w:val="3"/>
        <w:spacing w:before="300" w:after="120" w:line="288" w:lineRule="auto"/>
        <w:ind w:left="0"/>
        <w:jc w:val="left"/>
        <w:outlineLvl w:val="2"/>
      </w:pPr>
      <w:bookmarkStart w:name="heading_16" w:id="16"/>
      <w:r>
        <w:rPr>
          <w:rFonts w:eastAsia="等线" w:ascii="Arial" w:cs="Arial" w:hAnsi="Arial"/>
          <w:b w:val="true"/>
          <w:color w:val="245bdb"/>
          <w:sz w:val="30"/>
        </w:rPr>
        <w:t xml:space="preserve">5.3.1 </w:t>
      </w:r>
      <w:r>
        <w:rPr>
          <w:rFonts w:eastAsia="等线" w:ascii="Arial" w:cs="Arial" w:hAnsi="Arial"/>
          <w:b w:val="true"/>
          <w:sz w:val="30"/>
        </w:rPr>
        <w:t>流程活动说明</w:t>
      </w:r>
      <w:bookmarkEnd w:id="16"/>
    </w:p>
    <w:p>
      <w:pPr>
        <w:spacing w:before="120" w:after="120" w:line="288" w:lineRule="auto"/>
        <w:ind w:left="0" w:firstLine="42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330"/>
        <w:gridCol w:w="360"/>
        <w:gridCol w:w="1230"/>
        <w:gridCol w:w="285"/>
        <w:gridCol w:w="510"/>
        <w:gridCol w:w="855"/>
        <w:gridCol w:w="675"/>
        <w:gridCol w:w="870"/>
        <w:gridCol w:w="870"/>
        <w:gridCol w:w="450"/>
        <w:gridCol w:w="885"/>
        <w:gridCol w:w="720"/>
      </w:tblGrid>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是否是KCP/KDP</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管理经营数据</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运营管理专员</w:t>
            </w:r>
          </w:p>
          <w:p>
            <w:pPr>
              <w:spacing w:before="120" w:after="120" w:line="288" w:lineRule="auto"/>
              <w:ind w:left="0"/>
              <w:jc w:val="left"/>
            </w:pPr>
            <w:r>
              <w:rPr>
                <w:rFonts w:eastAsia="等线" w:ascii="Arial" w:cs="Arial" w:hAnsi="Arial"/>
                <w:sz w:val="22"/>
              </w:rPr>
              <w:t>产品BU负责人</w:t>
            </w:r>
          </w:p>
          <w:p>
            <w:pPr>
              <w:spacing w:before="120" w:after="120" w:line="288" w:lineRule="auto"/>
              <w:ind w:left="0"/>
              <w:jc w:val="left"/>
            </w:pPr>
            <w:r>
              <w:rPr>
                <w:rFonts w:eastAsia="等线" w:ascii="Arial" w:cs="Arial" w:hAnsi="Arial"/>
                <w:sz w:val="22"/>
              </w:rPr>
              <w:t>行业BU负责人</w:t>
            </w:r>
          </w:p>
        </w:tc>
        <w:tc>
          <w:tcPr>
            <w:tcW w:w="123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运营管理专员组织开展财务滚动预测，输出改进建议和行动计划，财务预测在BG层面为阿米巴预测。</w:t>
            </w:r>
          </w:p>
          <w:p>
            <w:pPr>
              <w:spacing w:before="120" w:after="120" w:line="288" w:lineRule="auto"/>
              <w:ind w:left="0"/>
              <w:jc w:val="left"/>
            </w:pPr>
            <w:r>
              <w:rPr>
                <w:rFonts w:eastAsia="等线" w:ascii="Arial" w:cs="Arial" w:hAnsi="Arial"/>
                <w:sz w:val="22"/>
              </w:rPr>
              <w:t>组织开展预算（人力）的执行分析，监控预算（人力）管控指标等实际执行情况，开展滚动预测及分析等；输出改进建议和行动计划，并跟踪完成情况。</w:t>
            </w:r>
          </w:p>
          <w:p>
            <w:pPr>
              <w:numPr>
                <w:numId w:val="6"/>
              </w:numPr>
              <w:spacing w:before="120" w:after="120" w:line="288" w:lineRule="auto"/>
              <w:ind w:left="0"/>
              <w:jc w:val="left"/>
            </w:pPr>
            <w:r>
              <w:rPr>
                <w:rFonts w:eastAsia="等线" w:ascii="Arial" w:cs="Arial" w:hAnsi="Arial"/>
                <w:sz w:val="22"/>
              </w:rPr>
              <w:t>产品BU/行业BU负责人完成自己所负责的BU的预算（人力）的执行分析，监控预算（人力）管控指标等实际执行情况，开展滚动预测及分析等；输出改进建议和行动计划，并跟踪完成情况。</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BG、BU年度BP；</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经过公司评审通过的BG、BU年度BP</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经营经营分析报告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经营经营分析报告</w:t>
            </w:r>
          </w:p>
          <w:p>
            <w:pPr>
              <w:spacing w:before="120" w:after="120" w:line="288" w:lineRule="auto"/>
              <w:ind w:left="0"/>
              <w:jc w:val="left"/>
            </w:pPr>
            <w:r>
              <w:rPr>
                <w:rFonts w:eastAsia="等线" w:ascii="Arial" w:cs="Arial" w:hAnsi="Arial"/>
                <w:sz w:val="22"/>
              </w:rPr>
              <w:t>（含阿米巴核算规则、阿米巴年度报表模版、销量报表模版）</w:t>
            </w:r>
          </w:p>
        </w:tc>
        <w:tc>
          <w:tcPr>
            <w:tcW w:w="87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《阿米巴经营操作手册》</w:t>
            </w:r>
            <w:hyperlink r:id="rId9">
              <w:r>
                <w:rPr>
                  <w:rFonts w:eastAsia="等线" w:ascii="Arial" w:cs="Arial" w:hAnsi="Arial"/>
                  <w:color w:val="3370ff"/>
                  <w:sz w:val="22"/>
                </w:rPr>
                <w:t xml:space="preserve">阿米巴经营操作手册(2024版) </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管理关键任务</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w:t>
            </w:r>
          </w:p>
          <w:p>
            <w:pPr>
              <w:spacing w:before="120" w:after="120" w:line="288" w:lineRule="auto"/>
              <w:ind w:left="0"/>
              <w:jc w:val="left"/>
            </w:pPr>
            <w:r>
              <w:rPr>
                <w:rFonts w:eastAsia="等线" w:ascii="Arial" w:cs="Arial" w:hAnsi="Arial"/>
                <w:sz w:val="22"/>
              </w:rPr>
              <w:t>产品BU负责人</w:t>
            </w:r>
          </w:p>
          <w:p>
            <w:pPr>
              <w:spacing w:before="120" w:after="120" w:line="288" w:lineRule="auto"/>
              <w:ind w:left="0"/>
              <w:jc w:val="left"/>
            </w:pPr>
            <w:r>
              <w:rPr>
                <w:rFonts w:eastAsia="等线" w:ascii="Arial" w:cs="Arial" w:hAnsi="Arial"/>
                <w:sz w:val="22"/>
              </w:rPr>
              <w:t>行业BU负责人</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应用BEM方法，监控关键任务的项目立项、实施、结项，例行监控完成情况，支撑执行与监控管理团队，实施重点工作项目管理。</w:t>
            </w:r>
          </w:p>
          <w:p>
            <w:pPr>
              <w:numPr>
                <w:numId w:val="7"/>
              </w:numPr>
              <w:spacing w:before="120" w:after="120" w:line="288" w:lineRule="auto"/>
              <w:ind w:left="0"/>
              <w:jc w:val="left"/>
            </w:pPr>
            <w:r>
              <w:rPr>
                <w:rFonts w:eastAsia="等线" w:ascii="Arial" w:cs="Arial" w:hAnsi="Arial"/>
                <w:sz w:val="22"/>
              </w:rPr>
              <w:t>EBG战略规划负责人进行BG层面的关键任务的管理。包含立项、评审、改善、跟盯全过程。</w:t>
            </w:r>
          </w:p>
          <w:p>
            <w:pPr>
              <w:numPr>
                <w:numId w:val="8"/>
              </w:numPr>
              <w:spacing w:before="120" w:after="120" w:line="288" w:lineRule="auto"/>
              <w:ind w:left="0"/>
              <w:jc w:val="left"/>
            </w:pPr>
            <w:r>
              <w:rPr>
                <w:rFonts w:eastAsia="等线" w:ascii="Arial" w:cs="Arial" w:hAnsi="Arial"/>
                <w:sz w:val="22"/>
              </w:rPr>
              <w:t>产品BU负责人负责产品BU关键任务的管理，包含产研项目的管理</w:t>
            </w:r>
          </w:p>
          <w:p>
            <w:pPr>
              <w:numPr>
                <w:numId w:val="9"/>
              </w:numPr>
              <w:spacing w:before="120" w:after="120" w:line="288" w:lineRule="auto"/>
              <w:ind w:left="0"/>
              <w:jc w:val="left"/>
            </w:pPr>
            <w:r>
              <w:rPr>
                <w:rFonts w:eastAsia="等线" w:ascii="Arial" w:cs="Arial" w:hAnsi="Arial"/>
                <w:sz w:val="22"/>
              </w:rPr>
              <w:t>行业BU负责人负责行业BU关键任务的管理，以及解决方案上市计划</w:t>
            </w:r>
          </w:p>
          <w:p>
            <w:pPr>
              <w:spacing w:before="120" w:after="120" w:line="288" w:lineRule="auto"/>
              <w:ind w:left="0"/>
              <w:jc w:val="left"/>
            </w:pPr>
          </w:p>
          <w:p>
            <w:pPr>
              <w:spacing w:before="120" w:after="120" w:line="288" w:lineRule="auto"/>
              <w:ind w:left="0"/>
              <w:jc w:val="left"/>
            </w:pP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BG、BU年度BP；</w:t>
            </w:r>
          </w:p>
          <w:p>
            <w:pPr>
              <w:spacing w:before="120" w:after="120" w:line="288" w:lineRule="auto"/>
              <w:ind w:left="0"/>
              <w:jc w:val="left"/>
            </w:pPr>
            <w:r>
              <w:rPr>
                <w:rFonts w:eastAsia="等线" w:ascii="Arial" w:cs="Arial" w:hAnsi="Arial"/>
                <w:sz w:val="22"/>
              </w:rPr>
              <w:t>关键任务立项模板</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经过公司评审通过的BG、BU年度BP；</w:t>
            </w:r>
          </w:p>
          <w:p>
            <w:pPr>
              <w:spacing w:before="120" w:after="120" w:line="288" w:lineRule="auto"/>
              <w:ind w:left="0"/>
              <w:jc w:val="left"/>
            </w:pPr>
            <w:r>
              <w:rPr>
                <w:rFonts w:eastAsia="等线" w:ascii="Arial" w:cs="Arial" w:hAnsi="Arial"/>
                <w:sz w:val="22"/>
              </w:rPr>
              <w:t>EBG关键任务立项</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MBR报告（关键任务总结报告）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关键任务总结报告；</w:t>
            </w:r>
          </w:p>
          <w:p>
            <w:pPr>
              <w:spacing w:before="120" w:after="120" w:line="288" w:lineRule="auto"/>
              <w:ind w:left="0"/>
              <w:jc w:val="left"/>
            </w:pPr>
            <w:r>
              <w:rPr>
                <w:rFonts w:eastAsia="等线" w:ascii="Arial" w:cs="Arial" w:hAnsi="Arial"/>
                <w:sz w:val="22"/>
              </w:rPr>
              <w:t>关键任务问题清单</w:t>
            </w:r>
          </w:p>
        </w:tc>
        <w:tc>
          <w:tcPr>
            <w:tcW w:w="87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《关键任务详细设计-管理执行版V2.0》</w:t>
            </w:r>
            <w:hyperlink r:id="rId10">
              <w:r>
                <w:rPr>
                  <w:rFonts w:eastAsia="等线" w:ascii="Arial" w:cs="Arial" w:hAnsi="Arial"/>
                  <w:color w:val="3370ff"/>
                  <w:sz w:val="22"/>
                </w:rPr>
                <w:t>关键任务详细设计-管理执行版V2.0</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《EBG-关键任务（项目）立项详细设计模板》</w:t>
            </w:r>
            <w:hyperlink r:id="rId11">
              <w:r>
                <w:rPr>
                  <w:rFonts w:eastAsia="等线" w:ascii="Arial" w:cs="Arial" w:hAnsi="Arial"/>
                  <w:color w:val="3370ff"/>
                  <w:sz w:val="22"/>
                </w:rPr>
                <w:t>EBG-关键任务（项目）立项详细设计模版</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评审CTQ-里程碑</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EBG执委会对CTQ中的里程碑设定进行评审，保证里程碑设置的合理，对CTQ</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CTQ里程碑设置</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里程碑的设置可以对季度目标的达成有强的支撑作用</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评审意见；</w:t>
            </w:r>
          </w:p>
          <w:p>
            <w:pPr>
              <w:spacing w:before="120" w:after="120" w:line="288" w:lineRule="auto"/>
              <w:ind w:left="0"/>
              <w:jc w:val="left"/>
            </w:pPr>
            <w:r>
              <w:rPr>
                <w:rFonts w:eastAsia="等线" w:ascii="Arial" w:cs="Arial" w:hAnsi="Arial"/>
                <w:sz w:val="22"/>
              </w:rPr>
              <w:t>修正后的CTQ-里程碑设置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里程碑的设置可以强支撑目标的达成且有直接关系</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新增活动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XXX部门 战略执行与监控 CTQ</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管理关键人才</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p>
            <w:pPr>
              <w:spacing w:before="120" w:after="120" w:line="288" w:lineRule="auto"/>
              <w:ind w:left="0"/>
              <w:jc w:val="left"/>
            </w:pPr>
            <w:r>
              <w:rPr>
                <w:rFonts w:eastAsia="等线" w:ascii="Arial" w:cs="Arial" w:hAnsi="Arial"/>
                <w:sz w:val="22"/>
              </w:rPr>
              <w:t>产品BU负责人</w:t>
            </w:r>
          </w:p>
          <w:p>
            <w:pPr>
              <w:spacing w:before="120" w:after="120" w:line="288" w:lineRule="auto"/>
              <w:ind w:left="0"/>
              <w:jc w:val="left"/>
            </w:pPr>
            <w:r>
              <w:rPr>
                <w:rFonts w:eastAsia="等线" w:ascii="Arial" w:cs="Arial" w:hAnsi="Arial"/>
                <w:sz w:val="22"/>
              </w:rPr>
              <w:t>行业BU负责人</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组织开展针对关键人才的需求，选聘，使用，培育，流转和退出的管理动作，确保战略关键任务的有效执行与落地。</w:t>
            </w:r>
          </w:p>
          <w:p>
            <w:pPr>
              <w:numPr>
                <w:numId w:val="10"/>
              </w:numPr>
              <w:spacing w:before="120" w:after="120" w:line="288" w:lineRule="auto"/>
              <w:ind w:left="0"/>
              <w:jc w:val="left"/>
            </w:pPr>
            <w:r>
              <w:rPr>
                <w:rFonts w:eastAsia="等线" w:ascii="Arial" w:cs="Arial" w:hAnsi="Arial"/>
                <w:sz w:val="22"/>
              </w:rPr>
              <w:t>执委会负责管理一级主管、EBG关键任务负责人，</w:t>
            </w:r>
          </w:p>
          <w:p>
            <w:pPr>
              <w:numPr>
                <w:numId w:val="11"/>
              </w:numPr>
              <w:spacing w:before="120" w:after="120" w:line="288" w:lineRule="auto"/>
              <w:ind w:left="0"/>
              <w:jc w:val="left"/>
            </w:pPr>
            <w:r>
              <w:rPr>
                <w:rFonts w:eastAsia="等线" w:ascii="Arial" w:cs="Arial" w:hAnsi="Arial"/>
                <w:sz w:val="22"/>
              </w:rPr>
              <w:t>产品BU/行业BU负责人负责管理二三级主管、专项负责人。</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BG、BU的SP报告</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真实、准确的经营执行进展</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MBR报告（关键人才报告）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有明确的关键人才需求，选聘，使用，培养，流转和退出的结论。以及下一步计划和安排</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季度洞察更新</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w:t>
            </w:r>
          </w:p>
          <w:p>
            <w:pPr>
              <w:spacing w:before="120" w:after="120" w:line="288" w:lineRule="auto"/>
              <w:ind w:left="0"/>
              <w:jc w:val="left"/>
            </w:pPr>
            <w:r>
              <w:rPr>
                <w:rFonts w:eastAsia="等线" w:ascii="Arial" w:cs="Arial" w:hAnsi="Arial"/>
                <w:sz w:val="22"/>
              </w:rPr>
              <w:t>产品BU负责人</w:t>
            </w:r>
          </w:p>
          <w:p>
            <w:pPr>
              <w:spacing w:before="120" w:after="120" w:line="288" w:lineRule="auto"/>
              <w:ind w:left="0"/>
              <w:jc w:val="left"/>
            </w:pPr>
            <w:r>
              <w:rPr>
                <w:rFonts w:eastAsia="等线" w:ascii="Arial" w:cs="Arial" w:hAnsi="Arial"/>
                <w:sz w:val="22"/>
              </w:rPr>
              <w:t>行业BU负责人</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每季度进行QBR总结时，在经营数据，关键任务，关键人才之外进行季度洞察的更新。</w:t>
            </w:r>
          </w:p>
          <w:p>
            <w:pPr>
              <w:numPr>
                <w:numId w:val="12"/>
              </w:numPr>
              <w:spacing w:before="120" w:after="120" w:line="288" w:lineRule="auto"/>
              <w:ind w:left="0"/>
              <w:jc w:val="left"/>
            </w:pPr>
            <w:r>
              <w:rPr>
                <w:rFonts w:eastAsia="等线" w:ascii="Arial" w:cs="Arial" w:hAnsi="Arial"/>
                <w:sz w:val="22"/>
              </w:rPr>
              <w:t>EBG战略规划负责人负责战略洞察更新。</w:t>
            </w:r>
          </w:p>
          <w:p>
            <w:pPr>
              <w:numPr>
                <w:numId w:val="13"/>
              </w:numPr>
              <w:spacing w:before="120" w:after="120" w:line="288" w:lineRule="auto"/>
              <w:ind w:left="0"/>
              <w:jc w:val="left"/>
            </w:pPr>
            <w:r>
              <w:rPr>
                <w:rFonts w:eastAsia="等线" w:ascii="Arial" w:cs="Arial" w:hAnsi="Arial"/>
                <w:sz w:val="22"/>
              </w:rPr>
              <w:t>产品BU负责人负责技术洞察更新。</w:t>
            </w:r>
          </w:p>
          <w:p>
            <w:pPr>
              <w:numPr>
                <w:numId w:val="14"/>
              </w:numPr>
              <w:spacing w:before="120" w:after="120" w:line="288" w:lineRule="auto"/>
              <w:ind w:left="0"/>
              <w:jc w:val="left"/>
            </w:pPr>
            <w:r>
              <w:rPr>
                <w:rFonts w:eastAsia="等线" w:ascii="Arial" w:cs="Arial" w:hAnsi="Arial"/>
                <w:sz w:val="22"/>
              </w:rPr>
              <w:t>行业BU负责人负责市场洞察更新。</w:t>
            </w:r>
          </w:p>
          <w:p>
            <w:pPr>
              <w:spacing w:before="120" w:after="120" w:line="288" w:lineRule="auto"/>
              <w:ind w:left="0"/>
              <w:jc w:val="left"/>
            </w:pPr>
            <w:r>
              <w:rPr>
                <w:rFonts w:eastAsia="等线" w:ascii="Arial" w:cs="Arial" w:hAnsi="Arial"/>
                <w:sz w:val="22"/>
              </w:rPr>
              <w:t>及时将最新的洞察信息补充进入，用于发现新的机会、风向、威胁点。</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市场侦听的信息、技术趋势</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及时更新的，与我司机会有关的线索</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战略洞察报告；</w:t>
            </w:r>
          </w:p>
          <w:p>
            <w:pPr>
              <w:spacing w:before="120" w:after="120" w:line="288" w:lineRule="auto"/>
              <w:ind w:left="0"/>
              <w:jc w:val="left"/>
            </w:pPr>
            <w:r>
              <w:rPr>
                <w:rFonts w:eastAsia="等线" w:ascii="Arial" w:cs="Arial" w:hAnsi="Arial"/>
                <w:sz w:val="22"/>
              </w:rPr>
              <w:t>技术洞察报告；</w:t>
            </w:r>
          </w:p>
          <w:p>
            <w:pPr>
              <w:spacing w:before="120" w:after="120" w:line="288" w:lineRule="auto"/>
              <w:ind w:left="0"/>
              <w:jc w:val="left"/>
            </w:pPr>
            <w:r>
              <w:rPr>
                <w:rFonts w:eastAsia="等线" w:ascii="Arial" w:cs="Arial" w:hAnsi="Arial"/>
                <w:sz w:val="22"/>
              </w:rPr>
              <w:t>市场洞察报告。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与我司相关，产出明确的机会、风险、威胁点。</w:t>
            </w:r>
          </w:p>
        </w:tc>
        <w:tc>
          <w:tcPr>
            <w:tcW w:w="87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新增活动</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《战略/市场洞察运作机制说明一页纸V0.9》</w:t>
            </w:r>
            <w:hyperlink r:id="rId13">
              <w:r>
                <w:rPr>
                  <w:rFonts w:eastAsia="等线" w:ascii="Arial" w:cs="Arial" w:hAnsi="Arial"/>
                  <w:color w:val="3370ff"/>
                  <w:sz w:val="22"/>
                </w:rPr>
                <w:t>战略/市场洞察运作机制说明一页纸V0.9</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集成并审视MBR/QBR报告</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EBG战略规划负责人基于审核要素，审视各个板块的规范性问题。</w:t>
            </w:r>
          </w:p>
          <w:p>
            <w:pPr>
              <w:spacing w:before="120" w:after="120" w:line="288" w:lineRule="auto"/>
              <w:ind w:left="0"/>
              <w:jc w:val="left"/>
            </w:pPr>
            <w:r>
              <w:rPr>
                <w:rFonts w:eastAsia="等线" w:ascii="Arial" w:cs="Arial" w:hAnsi="Arial"/>
                <w:sz w:val="22"/>
              </w:rPr>
              <w:t>包含月度/季度审核财务预测，预算（人力）、关键任务，KPI，运营绩效，战略专题的进度及下阶段计划，进行改进建议和行动计划决策</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各自板块输入的MBR/QBR报告</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经营分析能够反映真实原因的、识别关键问题和改善点的分析报告；</w:t>
            </w:r>
          </w:p>
          <w:p>
            <w:pPr>
              <w:spacing w:before="120" w:after="120" w:line="288" w:lineRule="auto"/>
              <w:ind w:left="0"/>
              <w:jc w:val="left"/>
            </w:pPr>
            <w:r>
              <w:rPr>
                <w:rFonts w:eastAsia="等线" w:ascii="Arial" w:cs="Arial" w:hAnsi="Arial"/>
                <w:sz w:val="22"/>
              </w:rPr>
              <w:t>可执行的改善举措及行动规划；</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修正后的MBR/QBR报告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按照评审标准进行的调整</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hyperlink r:id="rId14">
              <w:r>
                <w:rPr>
                  <w:rFonts w:eastAsia="等线" w:ascii="Arial" w:cs="Arial" w:hAnsi="Arial"/>
                  <w:color w:val="3370ff"/>
                  <w:sz w:val="22"/>
                </w:rPr>
                <w:t>DSTE审核要素表-业务</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《战略执行与监督-MBR/QBR模板 系统&amp;产品BU 2025》</w:t>
            </w:r>
            <w:hyperlink r:id="rId15">
              <w:r>
                <w:rPr>
                  <w:rFonts w:eastAsia="等线" w:ascii="Arial" w:cs="Arial" w:hAnsi="Arial"/>
                  <w:color w:val="3370ff"/>
                  <w:sz w:val="22"/>
                </w:rPr>
                <w:t xml:space="preserve">战略执行与监控-MBR/QBR模板 系统&amp;产品BU 2025 </w:t>
              </w:r>
            </w:hyperlink>
            <w:r>
              <w:rPr>
                <w:rFonts w:eastAsia="等线" w:ascii="Arial" w:cs="Arial" w:hAnsi="Arial"/>
                <w:sz w:val="22"/>
              </w:rPr>
              <w:br/>
              <w:t>《EBG战略主题和关键任务-2025季度复盘报告模板》</w:t>
              <w:br/>
            </w:r>
            <w:r>
              <w:rPr>
                <w:rFonts w:eastAsia="等线" w:ascii="Arial" w:cs="Arial" w:hAnsi="Arial"/>
                <w:sz w:val="22"/>
              </w:rPr>
              <w:t xml:space="preserve"> </w:t>
            </w:r>
            <w:hyperlink r:id="rId16">
              <w:r>
                <w:rPr>
                  <w:rFonts w:eastAsia="等线" w:ascii="Arial" w:cs="Arial" w:hAnsi="Arial"/>
                  <w:color w:val="3370ff"/>
                  <w:sz w:val="22"/>
                </w:rPr>
                <w:t>EBG战略主题和关键任务-2025季度复盘报告模板V1.0.pptx</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评审QBR报告</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EBG战略规划负责人组织QBR汇报会，由执委会对QBR进行评审</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修正后的MBR/QBR报告</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按照评审标准进行的调整</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MBR/QBR评审决议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经过执委评审决议通过的总结</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QBR 打分表：https://ruijie.feishu.cn/share/base/form/shrcnG7WpqUD4IN2eOz8GfB6Q3Q</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跟踪与闭环</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w:t>
            </w:r>
          </w:p>
          <w:p>
            <w:pPr>
              <w:spacing w:before="120" w:after="120" w:line="288" w:lineRule="auto"/>
              <w:ind w:left="0"/>
              <w:jc w:val="left"/>
            </w:pPr>
            <w:r>
              <w:rPr>
                <w:rFonts w:eastAsia="等线" w:ascii="Arial" w:cs="Arial" w:hAnsi="Arial"/>
                <w:sz w:val="22"/>
              </w:rPr>
              <w:t>运营管理专员</w:t>
            </w:r>
          </w:p>
          <w:p>
            <w:pPr>
              <w:spacing w:before="120" w:after="120" w:line="288" w:lineRule="auto"/>
              <w:ind w:left="0"/>
              <w:jc w:val="left"/>
            </w:pPr>
            <w:r>
              <w:rPr>
                <w:rFonts w:eastAsia="等线" w:ascii="Arial" w:cs="Arial" w:hAnsi="Arial"/>
                <w:sz w:val="22"/>
              </w:rPr>
              <w:t>产品BU负责人</w:t>
            </w:r>
          </w:p>
          <w:p>
            <w:pPr>
              <w:spacing w:before="120" w:after="120" w:line="288" w:lineRule="auto"/>
              <w:ind w:left="0"/>
              <w:jc w:val="left"/>
            </w:pPr>
            <w:r>
              <w:rPr>
                <w:rFonts w:eastAsia="等线" w:ascii="Arial" w:cs="Arial" w:hAnsi="Arial"/>
                <w:sz w:val="22"/>
              </w:rPr>
              <w:t>行业BU负责人</w:t>
            </w:r>
          </w:p>
        </w:tc>
        <w:tc>
          <w:tcPr>
            <w:tcW w:w="123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EBG战略规划负责人跟踪关键任务相关改进建议和行动计划的实施情况，确保决策意见得到落实。</w:t>
            </w:r>
          </w:p>
          <w:p>
            <w:pPr>
              <w:numPr>
                <w:numId w:val="16"/>
              </w:numPr>
              <w:spacing w:before="120" w:after="120" w:line="288" w:lineRule="auto"/>
              <w:ind w:left="0"/>
              <w:jc w:val="left"/>
            </w:pPr>
            <w:r>
              <w:rPr>
                <w:rFonts w:eastAsia="等线" w:ascii="Arial" w:cs="Arial" w:hAnsi="Arial"/>
                <w:sz w:val="22"/>
              </w:rPr>
              <w:t>运营管理专员负责跟踪财务预测、组织KPI、经营数据相关改进建议和行动计划的实施情况，确保决策意见得到落实。</w:t>
            </w:r>
          </w:p>
          <w:p>
            <w:pPr>
              <w:numPr>
                <w:numId w:val="17"/>
              </w:numPr>
              <w:spacing w:before="120" w:after="120" w:line="288" w:lineRule="auto"/>
              <w:ind w:left="0"/>
              <w:jc w:val="left"/>
            </w:pPr>
            <w:r>
              <w:rPr>
                <w:rFonts w:eastAsia="等线" w:ascii="Arial" w:cs="Arial" w:hAnsi="Arial"/>
                <w:sz w:val="22"/>
              </w:rPr>
              <w:t>产品BU负责人负责跟进产品BU经营数据、关键任务、关键人才的相关改进建议和行动计划的实施情况，确保决策意见得到落实。</w:t>
            </w:r>
          </w:p>
          <w:p>
            <w:pPr>
              <w:numPr>
                <w:numId w:val="18"/>
              </w:numPr>
              <w:spacing w:before="120" w:after="120" w:line="288" w:lineRule="auto"/>
              <w:ind w:left="0"/>
              <w:jc w:val="left"/>
            </w:pPr>
            <w:r>
              <w:rPr>
                <w:rFonts w:eastAsia="等线" w:ascii="Arial" w:cs="Arial" w:hAnsi="Arial"/>
                <w:sz w:val="22"/>
              </w:rPr>
              <w:t>行业BU负责人负责跟进行业BU经营数据、关键任务、关键人才的相关改进建议和行动计划的实施情况，确保决策意见得到落实。</w:t>
            </w:r>
          </w:p>
          <w:p>
            <w:pPr>
              <w:numPr>
                <w:numId w:val="19"/>
              </w:numPr>
              <w:spacing w:before="120" w:after="120" w:line="288" w:lineRule="auto"/>
              <w:ind w:left="0"/>
              <w:jc w:val="left"/>
            </w:pPr>
            <w:r>
              <w:rPr>
                <w:rFonts w:eastAsia="等线" w:ascii="Arial" w:cs="Arial" w:hAnsi="Arial"/>
                <w:sz w:val="22"/>
              </w:rPr>
              <w:t>通过月度经营分析会来实现跟踪和闭环</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MBR/QBR评审决议</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经过执委评审决议通过的总结</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月度经营分析会结论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有明确的下一步计划、改善点，验收标准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经营分析会发表内容要求：</w:t>
            </w:r>
          </w:p>
          <w:p>
            <w:pPr>
              <w:spacing w:before="120" w:after="120" w:line="288" w:lineRule="auto"/>
              <w:ind w:left="0"/>
              <w:jc w:val="left"/>
            </w:pPr>
            <w:r>
              <w:rPr>
                <w:rFonts w:eastAsia="等线" w:ascii="Arial" w:cs="Arial" w:hAnsi="Arial"/>
                <w:sz w:val="22"/>
              </w:rPr>
              <w:t>（1）有启发性：促进思考、推动落地</w:t>
            </w:r>
          </w:p>
          <w:p>
            <w:pPr>
              <w:spacing w:before="120" w:after="120" w:line="288" w:lineRule="auto"/>
              <w:ind w:left="0"/>
              <w:jc w:val="left"/>
            </w:pPr>
            <w:r>
              <w:rPr>
                <w:rFonts w:eastAsia="等线" w:ascii="Arial" w:cs="Arial" w:hAnsi="Arial"/>
                <w:sz w:val="22"/>
              </w:rPr>
              <w:t>通过标杆研究、问题分析、趋势洞察或方法论提炼，导入新的理念方法，提供新的解决视角和创新方向</w:t>
            </w:r>
          </w:p>
          <w:p>
            <w:pPr>
              <w:spacing w:before="120" w:after="120" w:line="288" w:lineRule="auto"/>
              <w:ind w:left="0"/>
              <w:jc w:val="left"/>
            </w:pPr>
            <w:r>
              <w:rPr>
                <w:rFonts w:eastAsia="等线" w:ascii="Arial" w:cs="Arial" w:hAnsi="Arial"/>
                <w:sz w:val="22"/>
              </w:rPr>
              <w:t>（2）解决问题：有根因分析、有行动措施</w:t>
            </w:r>
          </w:p>
          <w:p>
            <w:pPr>
              <w:spacing w:before="120" w:after="120" w:line="288" w:lineRule="auto"/>
              <w:ind w:left="0"/>
              <w:jc w:val="left"/>
            </w:pPr>
            <w:r>
              <w:rPr>
                <w:rFonts w:eastAsia="等线" w:ascii="Arial" w:cs="Arial" w:hAnsi="Arial"/>
                <w:sz w:val="22"/>
              </w:rPr>
              <w:t>在经营会前，应该已经对经营中的差距，问题进行详细的问题识别和根因分析，并且与利益相关方进行讨论和共识，提出了改善措施</w:t>
            </w:r>
          </w:p>
          <w:p>
            <w:pPr>
              <w:spacing w:before="120" w:after="120" w:line="288" w:lineRule="auto"/>
              <w:ind w:left="0"/>
              <w:jc w:val="left"/>
            </w:pPr>
            <w:r>
              <w:rPr>
                <w:rFonts w:eastAsia="等线" w:ascii="Arial" w:cs="Arial" w:hAnsi="Arial"/>
                <w:sz w:val="22"/>
              </w:rPr>
              <w:t>（3）导向动动：可落地可跟进</w:t>
            </w:r>
          </w:p>
          <w:p>
            <w:pPr>
              <w:spacing w:before="120" w:after="120" w:line="288" w:lineRule="auto"/>
              <w:ind w:left="0"/>
              <w:jc w:val="left"/>
            </w:pPr>
            <w:r>
              <w:rPr>
                <w:rFonts w:eastAsia="等线" w:ascii="Arial" w:cs="Arial" w:hAnsi="Arial"/>
                <w:sz w:val="22"/>
              </w:rPr>
              <w:t>所有会议谈论的决策，要有明确的行动计划、责任人工，资源需求及反馈标准</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《EBG月度经营会指引（2025年）》</w:t>
            </w:r>
            <w:hyperlink r:id="rId17">
              <w:r>
                <w:rPr>
                  <w:rFonts w:eastAsia="等线" w:ascii="Arial" w:cs="Arial" w:hAnsi="Arial"/>
                  <w:color w:val="3370ff"/>
                  <w:sz w:val="22"/>
                </w:rPr>
                <w:t>EBG 月度经营会指引（2025年）</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集成战略复盘报告</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EBG战略规划负责人组织各经营分析、关键任务、关键人才的内容。</w:t>
            </w:r>
          </w:p>
          <w:p>
            <w:pPr>
              <w:spacing w:before="120" w:after="120" w:line="288" w:lineRule="auto"/>
              <w:ind w:left="0"/>
              <w:jc w:val="left"/>
            </w:pPr>
            <w:r>
              <w:rPr>
                <w:rFonts w:eastAsia="等线" w:ascii="Arial" w:cs="Arial" w:hAnsi="Arial"/>
                <w:sz w:val="22"/>
              </w:rPr>
              <w:t>各产品/行业BU负责人，关键任务负责人提供各子的战略复盘报告，进行集成。</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各产品/行业BU战略复盘</w:t>
            </w:r>
          </w:p>
        </w:tc>
        <w:tc>
          <w:tcPr>
            <w:tcW w:w="855" w:type="dxa"/>
            <w:tcMar>
              <w:top w:type="dxa" w:w="60"/>
              <w:left w:type="dxa" w:w="120"/>
              <w:bottom w:type="dxa" w:w="30"/>
              <w:right w:type="dxa" w:w="120"/>
            </w:tcMar>
          </w:tcPr>
          <w:p>
            <w:pPr>
              <w:spacing w:before="120" w:after="120" w:line="288" w:lineRule="auto"/>
              <w:ind w:left="0"/>
              <w:jc w:val="left"/>
            </w:pP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集成后的战略复盘报告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有全年完成情况的总结，表述清晰，内容准确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hyperlink r:id="rId18">
              <w:r>
                <w:rPr>
                  <w:rFonts w:eastAsia="等线" w:ascii="Arial" w:cs="Arial" w:hAnsi="Arial"/>
                  <w:color w:val="3370ff"/>
                  <w:sz w:val="22"/>
                </w:rPr>
                <w:t>20240815 战略复盘模板 要求定稿9.13</w:t>
              </w:r>
            </w:hyperlink>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评审战略复盘</w:t>
            </w: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组织战略复盘评审会进行评审</w:t>
            </w:r>
          </w:p>
        </w:tc>
        <w:tc>
          <w:tcPr>
            <w:tcW w:w="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集成后的战略复盘报告</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有全年完成情况的总结，表述清晰，内容准确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战略复盘报告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按经过评审的战略复盘报告</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该段调用M1.2战略规划SP里的战略复盘的内容</w:t>
            </w:r>
          </w:p>
        </w:tc>
        <w:tc>
          <w:tcPr>
            <w:tcW w:w="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85" w:type="dxa"/>
            <w:tcMar>
              <w:top w:type="dxa" w:w="60"/>
              <w:left w:type="dxa" w:w="120"/>
              <w:bottom w:type="dxa" w:w="30"/>
              <w:right w:type="dxa" w:w="120"/>
            </w:tcMar>
          </w:tcPr>
          <w:p>
            <w:pPr>
              <w:spacing w:before="120" w:after="120" w:line="288" w:lineRule="auto"/>
              <w:ind w:left="0"/>
              <w:jc w:val="left"/>
            </w:pPr>
            <w:hyperlink r:id="rId19">
              <w:r>
                <w:rPr>
                  <w:rFonts w:eastAsia="等线" w:ascii="Arial" w:cs="Arial" w:hAnsi="Arial"/>
                  <w:color w:val="3370ff"/>
                  <w:sz w:val="22"/>
                </w:rPr>
                <w:t>DSTE审核要素表-业务</w:t>
              </w:r>
            </w:hyperlink>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bl>
    <w:p>
      <w:pPr>
        <w:spacing w:before="120" w:after="120" w:line="288" w:lineRule="auto"/>
        <w:ind w:left="0" w:firstLine="0"/>
        <w:jc w:val="left"/>
      </w:pPr>
    </w:p>
    <w:p>
      <w:pPr>
        <w:pStyle w:val="3"/>
        <w:spacing w:before="300" w:after="120" w:line="288" w:lineRule="auto"/>
        <w:ind w:left="0"/>
        <w:jc w:val="left"/>
        <w:outlineLvl w:val="2"/>
      </w:pPr>
      <w:bookmarkStart w:name="heading_17" w:id="17"/>
      <w:r>
        <w:rPr>
          <w:rFonts w:eastAsia="等线" w:ascii="Arial" w:cs="Arial" w:hAnsi="Arial"/>
          <w:b w:val="true"/>
          <w:sz w:val="30"/>
        </w:rPr>
        <w:t>5.3.6 主要岗位角色活动说明</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5.3.6.1 EBG战略规划负责人活动说明：</w:t>
      </w:r>
      <w:bookmarkEnd w:id="18"/>
    </w:p>
    <w:p>
      <w:pPr>
        <w:spacing w:before="120" w:after="120" w:line="288" w:lineRule="auto"/>
        <w:ind w:left="0" w:firstLine="0"/>
        <w:jc w:val="left"/>
      </w:pPr>
      <w:r>
        <w:rPr>
          <w:rFonts w:eastAsia="等线" w:ascii="Arial" w:cs="Arial" w:hAnsi="Arial"/>
          <w:sz w:val="22"/>
        </w:rPr>
        <w:t>EBG战略规划负责人（含：战略部经理）</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z w:val="28"/>
        </w:rPr>
        <w:t>5.3.6.2 行业/产品BU负责人活动说明：</w:t>
      </w:r>
      <w:bookmarkEnd w:id="19"/>
    </w:p>
    <w:p>
      <w:pPr>
        <w:spacing w:before="120" w:after="120" w:line="288" w:lineRule="auto"/>
        <w:ind w:left="0" w:firstLine="0"/>
        <w:jc w:val="left"/>
      </w:pPr>
      <w:r>
        <w:rPr>
          <w:rFonts w:eastAsia="等线" w:ascii="Arial" w:cs="Arial" w:hAnsi="Arial"/>
          <w:sz w:val="22"/>
        </w:rPr>
        <w:t>行业/产品BU负责人（含：行业系统部BU总经理、产品BU总经理）</w:t>
      </w:r>
    </w:p>
    <w:p>
      <w:pPr>
        <w:spacing w:before="120" w:after="120" w:line="288" w:lineRule="auto"/>
        <w:ind w:left="0" w:firstLine="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0" w:id="20"/>
      <w:r>
        <w:rPr>
          <w:rFonts w:eastAsia="等线" w:ascii="Arial" w:cs="Arial" w:hAnsi="Arial"/>
          <w:b w:val="true"/>
          <w:sz w:val="28"/>
        </w:rPr>
        <w:t>5.3.6.3  运营管理专员活动说明：</w:t>
      </w:r>
      <w:bookmarkEnd w:id="20"/>
    </w:p>
    <w:p>
      <w:pPr>
        <w:spacing w:before="120" w:after="120" w:line="288" w:lineRule="auto"/>
        <w:ind w:left="0" w:firstLine="0"/>
        <w:jc w:val="left"/>
      </w:pPr>
      <w:r>
        <w:rPr>
          <w:rFonts w:eastAsia="等线" w:ascii="Arial" w:cs="Arial" w:hAnsi="Arial"/>
          <w:sz w:val="22"/>
        </w:rPr>
        <w:t>运营管理专员（含：运营管理部的阿米巴专员，销售运营BP，运营管理部的数据专员）</w:t>
      </w:r>
    </w:p>
    <w:p>
      <w:pPr>
        <w:spacing w:before="120" w:after="120" w:line="288" w:lineRule="auto"/>
        <w:ind w:left="0" w:firstLine="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1" w:id="21"/>
      <w:r>
        <w:rPr>
          <w:rFonts w:eastAsia="等线" w:ascii="Arial" w:cs="Arial" w:hAnsi="Arial"/>
          <w:b w:val="true"/>
          <w:color w:val="245bdb"/>
          <w:sz w:val="32"/>
        </w:rPr>
        <w:t xml:space="preserve">5.4 </w:t>
      </w:r>
      <w:r>
        <w:rPr>
          <w:rFonts w:eastAsia="等线" w:ascii="Arial" w:cs="Arial" w:hAnsi="Arial"/>
          <w:b w:val="true"/>
          <w:sz w:val="32"/>
        </w:rPr>
        <w:t>KCP/KDP说明及指导书</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55"/>
        <w:gridCol w:w="855"/>
        <w:gridCol w:w="2355"/>
        <w:gridCol w:w="1290"/>
        <w:gridCol w:w="2175"/>
        <w:gridCol w:w="765"/>
      </w:tblGrid>
      <w:tr>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KCP/KDP说明</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KCP/KDP负责人</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指导书</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M1.4.1 滚动管理经营目标及关键任务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KDP1：评审CTQ-里程碑</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对CTQ中的里程碑设置进行评审，确保里程碑的设置合理，可以有效的支撑季度目标的达成。</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M1.4.1 滚动管理经营目标及关键任务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KDP2：评审QBR报告</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1.管理团队/执委会根据每个行业/BU负责人分析报告的情况进行评审和打分。</w:t>
            </w:r>
          </w:p>
          <w:p>
            <w:pPr>
              <w:spacing w:before="120" w:after="120" w:line="288" w:lineRule="auto"/>
              <w:ind w:left="0"/>
              <w:jc w:val="left"/>
            </w:pPr>
            <w:r>
              <w:rPr>
                <w:rFonts w:eastAsia="等线" w:ascii="Arial" w:cs="Arial" w:hAnsi="Arial"/>
                <w:sz w:val="22"/>
              </w:rPr>
              <w:t>2.行业/BU负责人如果通过则可开展下一步举措，如果未通过则需要重新调整。</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QBR 打分表：https://ruijie.feishu.cn/share/base/form/shrcnG7WpqUD4IN2eOz8GfB6Q3Q</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M1.4.1 滚动管理经营目标及关键任务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KDP3：评审战略复盘</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调用M1.2战略规划中的流程内容，回顾全年战略达成的情况，进行复盘。</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EBG执委会</w:t>
            </w:r>
          </w:p>
        </w:tc>
        <w:tc>
          <w:tcPr>
            <w:tcW w:w="2175" w:type="dxa"/>
            <w:tcMar>
              <w:top w:type="dxa" w:w="60"/>
              <w:left w:type="dxa" w:w="120"/>
              <w:bottom w:type="dxa" w:w="30"/>
              <w:right w:type="dxa" w:w="120"/>
            </w:tcMar>
          </w:tcPr>
          <w:p>
            <w:pPr>
              <w:spacing w:before="120" w:after="120" w:line="288" w:lineRule="auto"/>
              <w:ind w:left="0"/>
              <w:jc w:val="left"/>
            </w:pPr>
            <w:hyperlink r:id="rId20">
              <w:r>
                <w:rPr>
                  <w:rFonts w:eastAsia="等线" w:ascii="Arial" w:cs="Arial" w:hAnsi="Arial"/>
                  <w:color w:val="3370ff"/>
                  <w:sz w:val="22"/>
                </w:rPr>
                <w:t>DSTE审核要素表-业务</w:t>
              </w:r>
            </w:hyperlink>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w:t>
            </w:r>
          </w:p>
        </w:tc>
      </w:tr>
    </w:tbl>
    <w:p>
      <w:pPr>
        <w:pStyle w:val="1"/>
        <w:spacing w:before="380" w:after="140" w:line="288" w:lineRule="auto"/>
        <w:ind w:left="0"/>
        <w:jc w:val="left"/>
        <w:outlineLvl w:val="0"/>
      </w:pPr>
      <w:bookmarkStart w:name="heading_22" w:id="22"/>
      <w:r>
        <w:rPr>
          <w:rFonts w:eastAsia="等线" w:ascii="Arial" w:cs="Arial" w:hAnsi="Arial"/>
          <w:b w:val="true"/>
          <w:color w:val="245bdb"/>
          <w:sz w:val="36"/>
        </w:rPr>
        <w:t xml:space="preserve">6. </w:t>
      </w:r>
      <w:r>
        <w:rPr>
          <w:rFonts w:eastAsia="等线" w:ascii="Arial" w:cs="Arial" w:hAnsi="Arial"/>
          <w:b w:val="true"/>
          <w:sz w:val="36"/>
        </w:rPr>
        <w:t>解释权限及生效日期</w:t>
      </w:r>
      <w:bookmarkEnd w:id="22"/>
    </w:p>
    <w:p>
      <w:pPr>
        <w:spacing w:before="120" w:after="120" w:line="288" w:lineRule="auto"/>
        <w:ind w:left="0" w:firstLine="0"/>
        <w:jc w:val="left"/>
      </w:pPr>
      <w:r>
        <w:rPr>
          <w:rFonts w:eastAsia="等线" w:ascii="Arial" w:cs="Arial" w:hAnsi="Arial"/>
          <w:sz w:val="22"/>
        </w:rPr>
        <w:t>本文档的解释权归属流程管理部。</w:t>
      </w:r>
    </w:p>
    <w:p>
      <w:pPr>
        <w:spacing w:before="120" w:after="120" w:line="288" w:lineRule="auto"/>
        <w:ind w:left="0" w:firstLine="0"/>
        <w:jc w:val="left"/>
      </w:pPr>
      <w:r>
        <w:rPr>
          <w:rFonts w:eastAsia="等线" w:ascii="Arial" w:cs="Arial" w:hAnsi="Arial"/>
          <w:sz w:val="22"/>
        </w:rPr>
        <w:t>本文档自发布之日起至V1.0版本发布前生效。</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3" w:id="23"/>
      <w:r>
        <w:rPr>
          <w:rFonts w:eastAsia="等线" w:ascii="Arial" w:cs="Arial" w:hAnsi="Arial"/>
          <w:b w:val="true"/>
          <w:color w:val="245bdb"/>
          <w:sz w:val="36"/>
        </w:rPr>
        <w:t xml:space="preserve">7. </w:t>
      </w:r>
      <w:r>
        <w:rPr>
          <w:rFonts w:eastAsia="等线" w:ascii="Arial" w:cs="Arial" w:hAnsi="Arial"/>
          <w:b w:val="true"/>
          <w:sz w:val="36"/>
        </w:rPr>
        <w:t>流程运转机制</w:t>
      </w:r>
      <w:r>
        <w:rPr>
          <w:rFonts w:eastAsia="等线" w:ascii="Arial" w:cs="Arial" w:hAnsi="Arial"/>
          <w:b w:val="true"/>
          <w:color w:val="d83931"/>
          <w:sz w:val="36"/>
        </w:rPr>
        <w:t>（立项执行及运转奖惩文件）</w:t>
      </w:r>
      <w:bookmarkEnd w:id="23"/>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05"/>
        <w:gridCol w:w="6675"/>
      </w:tblGrid>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w:t>
            </w:r>
          </w:p>
        </w:tc>
        <w:tc>
          <w:tcPr>
            <w:tcW w:w="66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流程运转机制</w:t>
            </w:r>
          </w:p>
        </w:tc>
      </w:tr>
      <w:tr>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M1.4管理战略执行与监督</w:t>
            </w:r>
          </w:p>
        </w:tc>
        <w:tc>
          <w:tcPr>
            <w:tcW w:w="6675" w:type="dxa"/>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DSTE运作机制--25年EBG</w:t>
              </w:r>
            </w:hyperlink>
            <w:r>
              <w:rPr>
                <w:rFonts w:eastAsia="等线" w:ascii="Arial" w:cs="Arial" w:hAnsi="Arial"/>
                <w:sz w:val="22"/>
              </w:rPr>
              <w:t>根据战略部日历安排，在每个关键里程碑前由战略部负责人进行推动</w:t>
            </w:r>
          </w:p>
        </w:tc>
      </w:tr>
    </w:tbl>
    <w:p>
      <w:pPr>
        <w:pStyle w:val="1"/>
        <w:spacing w:before="380" w:after="140" w:line="288" w:lineRule="auto"/>
        <w:ind w:left="0"/>
        <w:jc w:val="left"/>
        <w:outlineLvl w:val="0"/>
      </w:pPr>
      <w:bookmarkStart w:name="heading_24" w:id="24"/>
      <w:r>
        <w:rPr>
          <w:rFonts w:eastAsia="等线" w:ascii="Arial" w:cs="Arial" w:hAnsi="Arial"/>
          <w:b w:val="true"/>
          <w:color w:val="245bdb"/>
          <w:sz w:val="36"/>
        </w:rPr>
        <w:t xml:space="preserve">8. </w:t>
      </w:r>
      <w:r>
        <w:rPr>
          <w:rFonts w:eastAsia="等线" w:ascii="Arial" w:cs="Arial" w:hAnsi="Arial"/>
          <w:b w:val="true"/>
          <w:sz w:val="36"/>
        </w:rPr>
        <w:t>IT系统支持表</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2760"/>
        <w:gridCol w:w="600"/>
        <w:gridCol w:w="840"/>
        <w:gridCol w:w="840"/>
        <w:gridCol w:w="1230"/>
        <w:gridCol w:w="1050"/>
      </w:tblGrid>
      <w:tr>
        <w:tc>
          <w:tcPr>
            <w:tcW w:w="9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tc>
        <w:tc>
          <w:tcPr>
            <w:tcW w:w="10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 管理战略执行与监督</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bl>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25" w:id="25"/>
      <w:bookmarkEnd w:id="25"/>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273">
    <w:lvl>
      <w:numFmt w:val="bullet"/>
      <w:suff w:val="tab"/>
      <w:lvlText w:val="•"/>
      <w:rPr>
        <w:color w:val="3370ff"/>
      </w:rPr>
    </w:lvl>
  </w:abstractNum>
  <w:abstractNum w:abstractNumId="8274">
    <w:lvl>
      <w:numFmt w:val="bullet"/>
      <w:suff w:val="tab"/>
      <w:lvlText w:val="•"/>
      <w:rPr>
        <w:color w:val="3370ff"/>
      </w:rPr>
    </w:lvl>
  </w:abstractNum>
  <w:abstractNum w:abstractNumId="8275">
    <w:lvl>
      <w:numFmt w:val="bullet"/>
      <w:suff w:val="tab"/>
      <w:lvlText w:val="•"/>
      <w:rPr>
        <w:color w:val="3370ff"/>
      </w:rPr>
    </w:lvl>
  </w:abstractNum>
  <w:abstractNum w:abstractNumId="8276">
    <w:lvl>
      <w:numFmt w:val="bullet"/>
      <w:suff w:val="tab"/>
      <w:lvlText w:val="•"/>
      <w:rPr>
        <w:color w:val="3370ff"/>
      </w:rPr>
    </w:lvl>
  </w:abstractNum>
  <w:abstractNum w:abstractNumId="8277">
    <w:lvl>
      <w:numFmt w:val="bullet"/>
      <w:suff w:val="tab"/>
      <w:lvlText w:val="•"/>
      <w:rPr>
        <w:color w:val="3370ff"/>
      </w:rPr>
    </w:lvl>
  </w:abstractNum>
  <w:abstractNum w:abstractNumId="8278">
    <w:lvl>
      <w:numFmt w:val="bullet"/>
      <w:suff w:val="tab"/>
      <w:lvlText w:val="•"/>
      <w:rPr>
        <w:color w:val="3370ff"/>
      </w:rPr>
    </w:lvl>
  </w:abstractNum>
  <w:abstractNum w:abstractNumId="8279">
    <w:lvl>
      <w:numFmt w:val="bullet"/>
      <w:suff w:val="tab"/>
      <w:lvlText w:val="•"/>
      <w:rPr>
        <w:color w:val="3370ff"/>
      </w:rPr>
    </w:lvl>
  </w:abstractNum>
  <w:abstractNum w:abstractNumId="8280">
    <w:lvl>
      <w:numFmt w:val="bullet"/>
      <w:suff w:val="tab"/>
      <w:lvlText w:val="•"/>
      <w:rPr>
        <w:color w:val="3370ff"/>
      </w:rPr>
    </w:lvl>
  </w:abstractNum>
  <w:abstractNum w:abstractNumId="8281">
    <w:lvl>
      <w:numFmt w:val="bullet"/>
      <w:suff w:val="tab"/>
      <w:lvlText w:val="•"/>
      <w:rPr>
        <w:color w:val="3370ff"/>
      </w:rPr>
    </w:lvl>
  </w:abstractNum>
  <w:abstractNum w:abstractNumId="8282">
    <w:lvl>
      <w:numFmt w:val="bullet"/>
      <w:suff w:val="tab"/>
      <w:lvlText w:val="•"/>
      <w:rPr>
        <w:color w:val="3370ff"/>
      </w:rPr>
    </w:lvl>
  </w:abstractNum>
  <w:abstractNum w:abstractNumId="8283">
    <w:lvl>
      <w:numFmt w:val="bullet"/>
      <w:suff w:val="tab"/>
      <w:lvlText w:val="•"/>
      <w:rPr>
        <w:color w:val="3370ff"/>
      </w:rPr>
    </w:lvl>
  </w:abstractNum>
  <w:abstractNum w:abstractNumId="8284">
    <w:lvl>
      <w:numFmt w:val="bullet"/>
      <w:suff w:val="tab"/>
      <w:lvlText w:val="•"/>
      <w:rPr>
        <w:color w:val="3370ff"/>
      </w:rPr>
    </w:lvl>
  </w:abstractNum>
  <w:abstractNum w:abstractNumId="8285">
    <w:lvl>
      <w:numFmt w:val="bullet"/>
      <w:suff w:val="tab"/>
      <w:lvlText w:val="•"/>
      <w:rPr>
        <w:color w:val="3370ff"/>
      </w:rPr>
    </w:lvl>
  </w:abstractNum>
  <w:abstractNum w:abstractNumId="8286">
    <w:lvl>
      <w:numFmt w:val="bullet"/>
      <w:suff w:val="tab"/>
      <w:lvlText w:val="•"/>
      <w:rPr>
        <w:color w:val="3370ff"/>
      </w:rPr>
    </w:lvl>
  </w:abstractNum>
  <w:abstractNum w:abstractNumId="8287">
    <w:lvl>
      <w:numFmt w:val="bullet"/>
      <w:suff w:val="tab"/>
      <w:lvlText w:val="•"/>
      <w:rPr>
        <w:color w:val="3370ff"/>
      </w:rPr>
    </w:lvl>
  </w:abstractNum>
  <w:abstractNum w:abstractNumId="8288">
    <w:lvl>
      <w:numFmt w:val="bullet"/>
      <w:suff w:val="tab"/>
      <w:lvlText w:val="•"/>
      <w:rPr>
        <w:color w:val="3370ff"/>
      </w:rPr>
    </w:lvl>
  </w:abstractNum>
  <w:abstractNum w:abstractNumId="8289">
    <w:lvl>
      <w:numFmt w:val="bullet"/>
      <w:suff w:val="tab"/>
      <w:lvlText w:val="•"/>
      <w:rPr>
        <w:color w:val="3370ff"/>
      </w:rPr>
    </w:lvl>
  </w:abstractNum>
  <w:abstractNum w:abstractNumId="8290">
    <w:lvl>
      <w:numFmt w:val="bullet"/>
      <w:suff w:val="tab"/>
      <w:lvlText w:val="•"/>
      <w:rPr>
        <w:color w:val="3370ff"/>
      </w:rPr>
    </w:lvl>
  </w:abstractNum>
  <w:abstractNum w:abstractNumId="8291">
    <w:lvl>
      <w:numFmt w:val="bullet"/>
      <w:suff w:val="tab"/>
      <w:lvlText w:val="•"/>
      <w:rPr>
        <w:color w:val="3370ff"/>
      </w:rPr>
    </w:lvl>
  </w:abstractNum>
  <w:num w:numId="1">
    <w:abstractNumId w:val="8273"/>
  </w:num>
  <w:num w:numId="2">
    <w:abstractNumId w:val="8274"/>
  </w:num>
  <w:num w:numId="3">
    <w:abstractNumId w:val="8275"/>
  </w:num>
  <w:num w:numId="4">
    <w:abstractNumId w:val="8276"/>
  </w:num>
  <w:num w:numId="5">
    <w:abstractNumId w:val="8277"/>
  </w:num>
  <w:num w:numId="6">
    <w:abstractNumId w:val="8278"/>
  </w:num>
  <w:num w:numId="7">
    <w:abstractNumId w:val="8279"/>
  </w:num>
  <w:num w:numId="8">
    <w:abstractNumId w:val="8280"/>
  </w:num>
  <w:num w:numId="9">
    <w:abstractNumId w:val="8281"/>
  </w:num>
  <w:num w:numId="10">
    <w:abstractNumId w:val="8282"/>
  </w:num>
  <w:num w:numId="11">
    <w:abstractNumId w:val="8283"/>
  </w:num>
  <w:num w:numId="12">
    <w:abstractNumId w:val="8284"/>
  </w:num>
  <w:num w:numId="13">
    <w:abstractNumId w:val="8285"/>
  </w:num>
  <w:num w:numId="14">
    <w:abstractNumId w:val="8286"/>
  </w:num>
  <w:num w:numId="15">
    <w:abstractNumId w:val="8287"/>
  </w:num>
  <w:num w:numId="16">
    <w:abstractNumId w:val="8288"/>
  </w:num>
  <w:num w:numId="17">
    <w:abstractNumId w:val="8289"/>
  </w:num>
  <w:num w:numId="18">
    <w:abstractNumId w:val="8290"/>
  </w:num>
  <w:num w:numId="19">
    <w:abstractNumId w:val="82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docx/DUU9diD0lojC0DxvMGGcNTZknBh?from=auth" TargetMode="External" Type="http://schemas.openxmlformats.org/officeDocument/2006/relationships/hyperlink"/><Relationship Id="rId11" Target="https://ruijie.feishu.cn/wiki/IV6wwPiHoivaqUk4f6BcHem2nIc?from=from" TargetMode="External" Type="http://schemas.openxmlformats.org/officeDocument/2006/relationships/hyperlink"/><Relationship Id="rId12" Target="https://ruijie.feishu.cn/wiki/TTBYwQjQlirL9vkBJMTc9CNZnzh?from=from_copylink" TargetMode="External" Type="http://schemas.openxmlformats.org/officeDocument/2006/relationships/hyperlink"/><Relationship Id="rId13" Target="https://ruijie.feishu.cn/docx/L8cNdvReQosI3MxorV6c2Kn0nZf" TargetMode="External" Type="http://schemas.openxmlformats.org/officeDocument/2006/relationships/hyperlink"/><Relationship Id="rId14" Target="https://ruijie.feishu.cn/wiki/X2gVwZydqiv0OLk7glkcVWdbnOh" TargetMode="External" Type="http://schemas.openxmlformats.org/officeDocument/2006/relationships/hyperlink"/><Relationship Id="rId15" Target="https://ruijie.feishu.cn/docx/WIhEd53O6olVUOxP36qcUtjonBc?from=from_copylink" TargetMode="External" Type="http://schemas.openxmlformats.org/officeDocument/2006/relationships/hyperlink"/><Relationship Id="rId16" Target="https://ruijie.feishu.cn/file/A3YObSIqaon635xV1uPcp6Jxnhc?from=from_copylink" TargetMode="External" Type="http://schemas.openxmlformats.org/officeDocument/2006/relationships/hyperlink"/><Relationship Id="rId17" Target="https://ruijie.feishu.cn/wiki/UwXUw8SX9izQpYkdDoAcJUwRnMg?from=from_copylink" TargetMode="External" Type="http://schemas.openxmlformats.org/officeDocument/2006/relationships/hyperlink"/><Relationship Id="rId18" Target="https://ruijie.feishu.cn/docx/Anqfd8dNSoSriNxW5rPcySUEnHh" TargetMode="External" Type="http://schemas.openxmlformats.org/officeDocument/2006/relationships/hyperlink"/><Relationship Id="rId19" Target="https://ruijie.feishu.cn/wiki/X2gVwZydqiv0OLk7glkcVWdbnOh" TargetMode="External" Type="http://schemas.openxmlformats.org/officeDocument/2006/relationships/hyperlink"/><Relationship Id="rId2" Target="styles.xml" Type="http://schemas.openxmlformats.org/officeDocument/2006/relationships/styles"/><Relationship Id="rId20" Target="https://ruijie.feishu.cn/wiki/X2gVwZydqiv0OLk7glkcVWdbnOh" TargetMode="External" Type="http://schemas.openxmlformats.org/officeDocument/2006/relationships/hyperlink"/><Relationship Id="rId21" Target="https://ruijie.feishu.cn/wiki/RUzpwaDHvilBXdk6ARvc6gZknT0" TargetMode="External" Type="http://schemas.openxmlformats.org/officeDocument/2006/relationships/hyperlink"/><Relationship Id="rId2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docx/QSOJdhMKhojf2axj1tgcpnGfni1"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2025-05-13T08:57:33Z</dcterms:created>
  <dc:creator>Apache POI</dc:creator>
</cp:coreProperties>
</file>