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M1.5 战略评估流程说明文件-V0.9</w:t>
      </w:r>
    </w:p>
    <w:p>
      <w:pPr>
        <w:spacing w:before="120" w:after="120" w:line="288" w:lineRule="auto"/>
        <w:ind w:left="0" w:firstLine="0"/>
        <w:jc w:val="left"/>
      </w:pPr>
      <w:r>
        <w:rPr>
          <w:rFonts w:eastAsia="等线" w:ascii="Arial" w:cs="Arial" w:hAnsi="Arial"/>
          <w:b w:val="true"/>
          <w:sz w:val="22"/>
        </w:rPr>
        <w:t>M1.5 战略评估流程说明文件-V0.9</w:t>
      </w:r>
    </w:p>
    <w:p>
      <w:pPr>
        <w:spacing w:before="120" w:after="120" w:line="288" w:lineRule="auto"/>
        <w:ind w:left="0" w:firstLine="0"/>
        <w:jc w:val="right"/>
      </w:pPr>
      <w:r>
        <w:rPr>
          <w:rFonts w:eastAsia="等线" w:ascii="Arial" w:cs="Arial" w:hAnsi="Arial"/>
          <w:sz w:val="22"/>
        </w:rPr>
        <w:t>密级：B</w:t>
      </w:r>
    </w:p>
    <w:p>
      <w:pPr>
        <w:spacing w:before="120" w:after="120" w:line="288" w:lineRule="auto"/>
        <w:ind w:left="0" w:firstLine="0"/>
        <w:jc w:val="left"/>
      </w:pPr>
    </w:p>
    <w:p>
      <w:pPr>
        <w:pStyle w:val="1"/>
        <w:spacing w:before="380" w:after="140" w:line="288" w:lineRule="auto"/>
        <w:ind w:left="0"/>
        <w:jc w:val="center"/>
        <w:outlineLvl w:val="0"/>
      </w:pPr>
      <w:bookmarkStart w:name="heading_0" w:id="0"/>
      <w:r>
        <w:rPr>
          <w:rFonts w:eastAsia="等线" w:ascii="Arial" w:cs="Arial" w:hAnsi="Arial"/>
          <w:b w:val="true"/>
          <w:sz w:val="36"/>
        </w:rPr>
        <w:t xml:space="preserve"> </w:t>
      </w:r>
      <w:bookmarkEnd w:id="0"/>
    </w:p>
    <w:p>
      <w:pPr>
        <w:pStyle w:val="1"/>
        <w:spacing w:before="380" w:after="140" w:line="288" w:lineRule="auto"/>
        <w:ind w:left="0"/>
        <w:jc w:val="center"/>
        <w:outlineLvl w:val="0"/>
      </w:pPr>
      <w:bookmarkStart w:name="heading_1" w:id="1"/>
      <w:r>
        <w:rPr>
          <w:rFonts w:eastAsia="等线" w:ascii="Arial" w:cs="Arial" w:hAnsi="Arial"/>
          <w:b w:val="true"/>
          <w:sz w:val="36"/>
        </w:rPr>
        <w:t xml:space="preserve"> </w:t>
      </w:r>
      <w:bookmarkEnd w:id="1"/>
    </w:p>
    <w:p>
      <w:pPr>
        <w:pStyle w:val="1"/>
        <w:spacing w:before="380" w:after="140" w:line="288" w:lineRule="auto"/>
        <w:ind w:left="0"/>
        <w:jc w:val="center"/>
        <w:outlineLvl w:val="0"/>
      </w:pPr>
      <w:bookmarkStart w:name="heading_2" w:id="2"/>
      <w:r>
        <w:rPr>
          <w:rFonts w:eastAsia="等线" w:ascii="Arial" w:cs="Arial" w:hAnsi="Arial"/>
          <w:b w:val="true"/>
          <w:sz w:val="36"/>
        </w:rPr>
        <w:t>M1.5 战略评估流程</w:t>
      </w:r>
      <w:bookmarkEnd w:id="2"/>
    </w:p>
    <w:p>
      <w:pPr>
        <w:spacing w:before="120" w:after="120" w:line="288" w:lineRule="auto"/>
        <w:ind w:left="0" w:firstLine="0"/>
        <w:jc w:val="left"/>
      </w:pPr>
    </w:p>
    <w:p>
      <w:pPr>
        <w:pStyle w:val="1"/>
        <w:spacing w:before="380" w:after="140" w:line="288" w:lineRule="auto"/>
        <w:ind w:left="0"/>
        <w:jc w:val="center"/>
        <w:outlineLvl w:val="0"/>
      </w:pPr>
      <w:bookmarkStart w:name="heading_3" w:id="3"/>
      <w:r>
        <w:rPr>
          <w:rFonts w:eastAsia="等线" w:ascii="Arial" w:cs="Arial" w:hAnsi="Arial"/>
          <w:b w:val="true"/>
          <w:sz w:val="36"/>
        </w:rPr>
        <w:t xml:space="preserve"> </w:t>
      </w:r>
      <w:bookmarkEnd w:id="3"/>
    </w:p>
    <w:p>
      <w:pPr>
        <w:spacing w:before="120" w:after="120" w:line="288" w:lineRule="auto"/>
        <w:ind w:left="0" w:firstLine="0"/>
        <w:jc w:val="center"/>
      </w:pPr>
      <w:r>
        <w:rPr>
          <w:rFonts w:eastAsia="等线" w:ascii="Arial" w:cs="Arial" w:hAnsi="Arial"/>
          <w:sz w:val="22"/>
        </w:rPr>
        <w:t xml:space="preserv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55"/>
        <w:gridCol w:w="1455"/>
        <w:gridCol w:w="1455"/>
        <w:gridCol w:w="1350"/>
        <w:gridCol w:w="1350"/>
        <w:gridCol w:w="1215"/>
      </w:tblGrid>
      <w:tr>
        <w:tc>
          <w:tcPr>
            <w:tcW w:w="571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文件名称：MTCV-M1.5-DSTE-P-战略评估流程说明文件-V0.9</w:t>
            </w: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350" w:type="dxa"/>
            <w:hMerge w:val="continue"/>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版本：V0.9</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密级：B</w:t>
            </w:r>
          </w:p>
        </w:tc>
      </w:tr>
      <w:tr>
        <w:tc>
          <w:tcPr>
            <w:tcW w:w="70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文件编号：MTCV-M1.5-DSTE-P-战略评估流程-V0.9</w:t>
            </w: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350" w:type="dxa"/>
            <w:hMerge w:val="continue"/>
            <w:tcMar>
              <w:top w:type="dxa" w:w="60"/>
              <w:left w:type="dxa" w:w="120"/>
              <w:bottom w:type="dxa" w:w="30"/>
              <w:right w:type="dxa" w:w="120"/>
            </w:tcMar>
          </w:tcPr>
          <w:p>
            <w:pPr>
              <w:spacing w:before="120" w:after="120" w:line="288" w:lineRule="auto"/>
              <w:ind w:left="0"/>
              <w:jc w:val="left"/>
            </w:pPr>
          </w:p>
        </w:tc>
        <w:tc>
          <w:tcPr>
            <w:tcW w:w="2565" w:type="dxa"/>
            <w:hMerge w:val="continue"/>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生效日期：2025/3/10</w:t>
            </w:r>
          </w:p>
        </w:tc>
        <w:tc>
          <w:tcPr>
            <w:tcW w:w="1215" w:type="dxa"/>
            <w:hMerge w:val="continue"/>
            <w:tcMar>
              <w:top w:type="dxa" w:w="60"/>
              <w:left w:type="dxa" w:w="120"/>
              <w:bottom w:type="dxa" w:w="30"/>
              <w:right w:type="dxa" w:w="120"/>
            </w:tcMar>
          </w:tcPr>
          <w:p>
            <w:pPr>
              <w:spacing w:before="120" w:after="120" w:line="288" w:lineRule="auto"/>
              <w:ind w:left="0"/>
              <w:jc w:val="left"/>
            </w:pP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流程L2 PO：黄镇</w:t>
            </w:r>
          </w:p>
        </w:tc>
        <w:tc>
          <w:tcPr>
            <w:tcW w:w="561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流程L3 PO：王海珍</w:t>
            </w: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3915" w:type="dxa"/>
            <w:hMerge w:val="continue"/>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流程组团队成员：刘建</w:t>
            </w:r>
          </w:p>
        </w:tc>
        <w:tc>
          <w:tcPr>
            <w:tcW w:w="1350" w:type="dxa"/>
            <w:hMerge w:val="continue"/>
            <w:hMerge w:val="continue"/>
            <w:tcMar>
              <w:top w:type="dxa" w:w="60"/>
              <w:left w:type="dxa" w:w="120"/>
              <w:bottom w:type="dxa" w:w="30"/>
              <w:right w:type="dxa" w:w="120"/>
            </w:tcMar>
          </w:tcPr>
          <w:p>
            <w:pPr>
              <w:spacing w:before="120" w:after="120" w:line="288" w:lineRule="auto"/>
              <w:ind w:left="0"/>
              <w:jc w:val="left"/>
            </w:pPr>
          </w:p>
        </w:tc>
        <w:tc>
          <w:tcPr>
            <w:tcW w:w="121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更 改   记 录</w:t>
            </w: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350" w:type="dxa"/>
            <w:hMerge w:val="continue"/>
            <w:tcMar>
              <w:top w:type="dxa" w:w="60"/>
              <w:left w:type="dxa" w:w="120"/>
              <w:bottom w:type="dxa" w:w="30"/>
              <w:right w:type="dxa" w:w="120"/>
            </w:tcMar>
          </w:tcPr>
          <w:p>
            <w:pPr>
              <w:spacing w:before="120" w:after="120" w:line="288" w:lineRule="auto"/>
              <w:ind w:left="0"/>
              <w:jc w:val="left"/>
            </w:pPr>
          </w:p>
        </w:tc>
        <w:tc>
          <w:tcPr>
            <w:tcW w:w="1350" w:type="dxa"/>
            <w:hMerge w:val="continue"/>
            <w:tcMar>
              <w:top w:type="dxa" w:w="60"/>
              <w:left w:type="dxa" w:w="120"/>
              <w:bottom w:type="dxa" w:w="30"/>
              <w:right w:type="dxa" w:w="120"/>
            </w:tcMar>
          </w:tcPr>
          <w:p>
            <w:pPr>
              <w:spacing w:before="120" w:after="120" w:line="288" w:lineRule="auto"/>
              <w:ind w:left="0"/>
              <w:jc w:val="left"/>
            </w:pPr>
          </w:p>
        </w:tc>
        <w:tc>
          <w:tcPr>
            <w:tcW w:w="1215" w:type="dxa"/>
            <w:hMerge w:val="continue"/>
            <w:tcMar>
              <w:top w:type="dxa" w:w="60"/>
              <w:left w:type="dxa" w:w="120"/>
              <w:bottom w:type="dxa" w:w="30"/>
              <w:right w:type="dxa" w:w="120"/>
            </w:tcMar>
          </w:tcPr>
          <w:p>
            <w:pPr>
              <w:spacing w:before="120" w:after="120" w:line="288" w:lineRule="auto"/>
              <w:ind w:left="0"/>
              <w:jc w:val="left"/>
            </w:pPr>
          </w:p>
        </w:tc>
      </w:tr>
      <w:tr>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版本号</w:t>
            </w:r>
          </w:p>
        </w:tc>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更改人</w:t>
            </w:r>
          </w:p>
        </w:tc>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审核人</w:t>
            </w:r>
          </w:p>
        </w:tc>
        <w:tc>
          <w:tcPr>
            <w:tcW w:w="1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批准人</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生效日期</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更改内容</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V0.9</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流程PO：王海珍</w:t>
            </w:r>
          </w:p>
          <w:p>
            <w:pPr>
              <w:spacing w:before="120" w:after="120" w:line="288" w:lineRule="auto"/>
              <w:ind w:left="0"/>
              <w:jc w:val="left"/>
            </w:pPr>
            <w:r>
              <w:rPr>
                <w:rFonts w:eastAsia="等线" w:ascii="Arial" w:cs="Arial" w:hAnsi="Arial"/>
                <w:sz w:val="22"/>
              </w:rPr>
              <w:t>流程PC：隋媛</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黄镇</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EBG流程执委会</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2024-3-10</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首次发布</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w:t>
            </w:r>
          </w:p>
        </w:tc>
        <w:tc>
          <w:tcPr>
            <w:tcW w:w="1455" w:type="dxa"/>
            <w:tcMar>
              <w:top w:type="dxa" w:w="60"/>
              <w:left w:type="dxa" w:w="120"/>
              <w:bottom w:type="dxa" w:w="30"/>
              <w:right w:type="dxa" w:w="120"/>
            </w:tcMar>
          </w:tcPr>
          <w:p>
            <w:pPr>
              <w:spacing w:before="120" w:after="120" w:line="288" w:lineRule="auto"/>
              <w:ind w:left="0"/>
              <w:jc w:val="left"/>
            </w:pPr>
          </w:p>
        </w:tc>
        <w:tc>
          <w:tcPr>
            <w:tcW w:w="1455"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p>
        </w:tc>
      </w:tr>
      <w:tr>
        <w:tc>
          <w:tcPr>
            <w:tcW w:w="1455" w:type="dxa"/>
            <w:tcMar>
              <w:top w:type="dxa" w:w="60"/>
              <w:left w:type="dxa" w:w="120"/>
              <w:bottom w:type="dxa" w:w="30"/>
              <w:right w:type="dxa" w:w="120"/>
            </w:tcMar>
          </w:tcPr>
          <w:p>
            <w:pPr>
              <w:spacing w:before="120" w:after="120" w:line="288" w:lineRule="auto"/>
              <w:ind w:left="0"/>
              <w:jc w:val="left"/>
            </w:pPr>
          </w:p>
        </w:tc>
        <w:tc>
          <w:tcPr>
            <w:tcW w:w="1455" w:type="dxa"/>
            <w:tcMar>
              <w:top w:type="dxa" w:w="60"/>
              <w:left w:type="dxa" w:w="120"/>
              <w:bottom w:type="dxa" w:w="30"/>
              <w:right w:type="dxa" w:w="120"/>
            </w:tcMar>
          </w:tcPr>
          <w:p>
            <w:pPr>
              <w:spacing w:before="120" w:after="120" w:line="288" w:lineRule="auto"/>
              <w:ind w:left="0"/>
              <w:jc w:val="left"/>
            </w:pPr>
          </w:p>
        </w:tc>
        <w:tc>
          <w:tcPr>
            <w:tcW w:w="1455"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p>
        </w:tc>
      </w:tr>
      <w:tr>
        <w:tc>
          <w:tcPr>
            <w:tcW w:w="1455" w:type="dxa"/>
            <w:tcMar>
              <w:top w:type="dxa" w:w="60"/>
              <w:left w:type="dxa" w:w="120"/>
              <w:bottom w:type="dxa" w:w="30"/>
              <w:right w:type="dxa" w:w="120"/>
            </w:tcMar>
          </w:tcPr>
          <w:p>
            <w:pPr>
              <w:spacing w:before="120" w:after="120" w:line="288" w:lineRule="auto"/>
              <w:ind w:left="0"/>
              <w:jc w:val="left"/>
            </w:pPr>
          </w:p>
        </w:tc>
        <w:tc>
          <w:tcPr>
            <w:tcW w:w="1455" w:type="dxa"/>
            <w:tcMar>
              <w:top w:type="dxa" w:w="60"/>
              <w:left w:type="dxa" w:w="120"/>
              <w:bottom w:type="dxa" w:w="30"/>
              <w:right w:type="dxa" w:w="120"/>
            </w:tcMar>
          </w:tcPr>
          <w:p>
            <w:pPr>
              <w:spacing w:before="120" w:after="120" w:line="288" w:lineRule="auto"/>
              <w:ind w:left="0"/>
              <w:jc w:val="left"/>
            </w:pPr>
          </w:p>
        </w:tc>
        <w:tc>
          <w:tcPr>
            <w:tcW w:w="1455"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4" w:id="4"/>
      <w:r>
        <w:rPr>
          <w:rFonts w:eastAsia="等线" w:ascii="Arial" w:cs="Arial" w:hAnsi="Arial"/>
          <w:b w:val="true"/>
          <w:color w:val="245bdb"/>
          <w:sz w:val="36"/>
        </w:rPr>
        <w:t xml:space="preserve">1. </w:t>
      </w:r>
      <w:r>
        <w:rPr>
          <w:rFonts w:eastAsia="等线" w:ascii="Arial" w:cs="Arial" w:hAnsi="Arial"/>
          <w:b w:val="true"/>
          <w:sz w:val="36"/>
        </w:rPr>
        <w:t>目的</w:t>
      </w:r>
      <w:bookmarkEnd w:id="4"/>
    </w:p>
    <w:p>
      <w:pPr>
        <w:spacing w:before="120" w:after="120" w:line="288" w:lineRule="auto"/>
        <w:ind w:left="0" w:firstLine="0"/>
        <w:jc w:val="left"/>
      </w:pPr>
      <w:r>
        <w:rPr>
          <w:rFonts w:eastAsia="等线" w:ascii="Arial" w:cs="Arial" w:hAnsi="Arial"/>
          <w:b w:val="true"/>
          <w:sz w:val="22"/>
        </w:rPr>
        <w:t xml:space="preserve"> </w:t>
      </w:r>
      <w:r>
        <w:rPr>
          <w:rFonts w:eastAsia="等线" w:ascii="Arial" w:cs="Arial" w:hAnsi="Arial"/>
          <w:sz w:val="22"/>
        </w:rPr>
        <w:t xml:space="preserve">  本流程通过对部门战略、关键任务及岗位职责的分解，最终形成组织 KPI 和个人 KPI，通过对 KPI 的系统化的管理，对员工的表现和成果进行评价和反馈，以帮助员工和组织达成最佳业绩。</w:t>
      </w:r>
    </w:p>
    <w:p>
      <w:pPr>
        <w:pStyle w:val="1"/>
        <w:spacing w:before="380" w:after="140" w:line="288" w:lineRule="auto"/>
        <w:ind w:left="0"/>
        <w:jc w:val="left"/>
        <w:outlineLvl w:val="0"/>
      </w:pPr>
      <w:bookmarkStart w:name="heading_5" w:id="5"/>
      <w:r>
        <w:rPr>
          <w:rFonts w:eastAsia="等线" w:ascii="Arial" w:cs="Arial" w:hAnsi="Arial"/>
          <w:b w:val="true"/>
          <w:color w:val="245bdb"/>
          <w:sz w:val="36"/>
        </w:rPr>
        <w:t xml:space="preserve">2. </w:t>
      </w:r>
      <w:r>
        <w:rPr>
          <w:rFonts w:eastAsia="等线" w:ascii="Arial" w:cs="Arial" w:hAnsi="Arial"/>
          <w:b w:val="true"/>
          <w:sz w:val="36"/>
        </w:rPr>
        <w:t>适用范围</w:t>
      </w:r>
      <w:bookmarkEnd w:id="5"/>
    </w:p>
    <w:p>
      <w:pPr>
        <w:spacing w:before="120" w:after="120" w:line="288" w:lineRule="auto"/>
        <w:ind w:left="0" w:firstLine="0"/>
        <w:jc w:val="left"/>
      </w:pPr>
      <w:r>
        <w:rPr>
          <w:rFonts w:eastAsia="等线" w:ascii="Arial" w:cs="Arial" w:hAnsi="Arial"/>
          <w:sz w:val="22"/>
        </w:rPr>
        <w:t>本流程适用于 EBG 事业部内的组织和个人绩效评估管理。</w:t>
      </w:r>
    </w:p>
    <w:p>
      <w:pPr>
        <w:pStyle w:val="1"/>
        <w:spacing w:before="380" w:after="140" w:line="288" w:lineRule="auto"/>
        <w:ind w:left="0"/>
        <w:jc w:val="left"/>
        <w:outlineLvl w:val="0"/>
      </w:pPr>
      <w:bookmarkStart w:name="heading_6" w:id="6"/>
      <w:r>
        <w:rPr>
          <w:rFonts w:eastAsia="等线" w:ascii="Arial" w:cs="Arial" w:hAnsi="Arial"/>
          <w:b w:val="true"/>
          <w:color w:val="245bdb"/>
          <w:sz w:val="36"/>
        </w:rPr>
        <w:t xml:space="preserve">3. </w:t>
      </w:r>
      <w:r>
        <w:rPr>
          <w:rFonts w:eastAsia="等线" w:ascii="Arial" w:cs="Arial" w:hAnsi="Arial"/>
          <w:b w:val="true"/>
          <w:sz w:val="36"/>
        </w:rPr>
        <w:t>名词解释</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00"/>
        <w:gridCol w:w="1320"/>
        <w:gridCol w:w="6360"/>
      </w:tblGrid>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名词</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英文全称</w:t>
            </w:r>
          </w:p>
        </w:tc>
        <w:tc>
          <w:tcPr>
            <w:tcW w:w="63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解释</w:t>
            </w: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QBC</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Quarterly Business Commitment </w:t>
            </w:r>
          </w:p>
        </w:tc>
        <w:tc>
          <w:tcPr>
            <w:tcW w:w="6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即季度业务承诺书，描述的是员工在一个考核周期内（季度）和岗位职责相关的关键绩效目标，是绩效管理的载体。通过考核责任者与员工沟通签署 QBC，强化员工对目标的承诺感，牵引员工主动当责，高效执行。</w:t>
            </w: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Session C</w:t>
            </w:r>
          </w:p>
        </w:tc>
        <w:tc>
          <w:tcPr>
            <w:tcW w:w="6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对各部门人力资源状况、每位员工的能力提升、绩效表现进行定期盘点与分析，并将回顾与分析结果应用于公司其他人力资源管理活动中，包括管理者培养计划、管理者任命、职业发展、薪酬调整等。</w:t>
            </w: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HRBP</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Human Resource Business Partner</w:t>
            </w:r>
          </w:p>
        </w:tc>
        <w:tc>
          <w:tcPr>
            <w:tcW w:w="6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即人力资源业务合作伙伴；根据公司战略发展方向，与业务部门搭档，促进人力资源相关政策在业务部门的组织实施：并提供全模块顾问支持，推动招聘、薪酬、绩效考核、员工发展等有效运行；在QBC管理中，HRBP作为全流程的监督者，组织跟进运营绩效管理的每个环节，持续推进绩效管理的有效运行。</w:t>
            </w: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COE</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Center of Expertise</w:t>
            </w:r>
          </w:p>
        </w:tc>
        <w:tc>
          <w:tcPr>
            <w:tcW w:w="6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即人力资源专业中心，提供专业标准和工具，侧重战略设计与技术支持；由HRBP发现业务需求后，向COE寻求专业支持，COE设计的政策通过HRBP在业务部门试点并反馈优化。在QBC管理中，COE负责对绩效政策的制定，对主管和员工的绩效辅导的赋能等。</w:t>
            </w:r>
          </w:p>
        </w:tc>
      </w:tr>
    </w:tbl>
    <w:p>
      <w:pPr>
        <w:pStyle w:val="1"/>
        <w:spacing w:before="380" w:after="140" w:line="288" w:lineRule="auto"/>
        <w:ind w:left="0"/>
        <w:jc w:val="left"/>
        <w:outlineLvl w:val="0"/>
      </w:pPr>
      <w:bookmarkStart w:name="heading_7" w:id="7"/>
      <w:r>
        <w:rPr>
          <w:rFonts w:eastAsia="等线" w:ascii="Arial" w:cs="Arial" w:hAnsi="Arial"/>
          <w:b w:val="true"/>
          <w:color w:val="245bdb"/>
          <w:sz w:val="36"/>
        </w:rPr>
        <w:t xml:space="preserve">4. </w:t>
      </w:r>
      <w:r>
        <w:rPr>
          <w:rFonts w:eastAsia="等线" w:ascii="Arial" w:cs="Arial" w:hAnsi="Arial"/>
          <w:b w:val="true"/>
          <w:sz w:val="36"/>
        </w:rPr>
        <w:t>职责分工</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00"/>
        <w:gridCol w:w="1380"/>
        <w:gridCol w:w="5700"/>
      </w:tblGrid>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角色</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57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职责</w:t>
            </w:r>
          </w:p>
        </w:tc>
      </w:tr>
      <w:tr>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绩效管理员</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绩效经理</w:t>
            </w:r>
          </w:p>
        </w:tc>
        <w:tc>
          <w:tcPr>
            <w:tcW w:w="5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统筹EBG事业部绩效考核体系全流程建设，主导组织及个人绩效方案设计；定期跟踪各部门和重点岗位的业绩完成数据；年底核对全年目标完成情况，计算各部门应得奖金总额及个人奖金金额。作为QBC专项项目经理，为QBC绩效管理全流程运营结果负责。包括但不限于QBC优化需求的收集整理分析，跟进IT开发计划及质量监控。</w:t>
            </w:r>
          </w:p>
        </w:tc>
      </w:tr>
      <w:tr>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主管</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QBC系统中的审批领导（含直线主管矩阵管理主管）</w:t>
            </w:r>
          </w:p>
        </w:tc>
        <w:tc>
          <w:tcPr>
            <w:tcW w:w="5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分解战略目标，跟员工沟通共识；持续跟踪进展，提供资源支持与及时反馈；客观评价绩效，避免主观偏见，确保公平性；通过有效沟通驱动员工发展，制定改进计划强化绩效导向，推动组织与个人双赢。</w:t>
            </w:r>
          </w:p>
        </w:tc>
      </w:tr>
      <w:tr>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员工</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EBG全员</w:t>
            </w:r>
          </w:p>
        </w:tc>
        <w:tc>
          <w:tcPr>
            <w:tcW w:w="5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员工是自己QBC的第一承诺人和责任人，应主动参与目标制定，主动反馈进展，及时寻求支持，动态调整行动；客观自评，提供事实依据，参与校准讨论；开放心态接受反馈，制定可落地的改进计划；理性看待结果，链接职业发展，规划长期成长。</w:t>
            </w:r>
          </w:p>
        </w:tc>
      </w:tr>
      <w:tr>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HRBP，COE</w:t>
            </w:r>
          </w:p>
        </w:tc>
        <w:tc>
          <w:tcPr>
            <w:tcW w:w="5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COE负责绩效政策的制定优化宣导等，负责对主管等做绩效辅导的培训；HRBP在绩效管理全周期（审批和评价关系设定-目标制定-过程跟踪-结果应用）履行质量监督职责，确保绩效管理的有效运行。</w:t>
            </w:r>
          </w:p>
        </w:tc>
      </w:tr>
    </w:tbl>
    <w:p>
      <w:pPr>
        <w:spacing w:before="120" w:after="120" w:line="288" w:lineRule="auto"/>
        <w:ind w:left="0" w:firstLine="0"/>
        <w:jc w:val="left"/>
      </w:pPr>
    </w:p>
    <w:p>
      <w:pPr>
        <w:pStyle w:val="1"/>
        <w:spacing w:before="380" w:after="140" w:line="288" w:lineRule="auto"/>
        <w:ind w:left="0"/>
        <w:jc w:val="left"/>
        <w:outlineLvl w:val="0"/>
      </w:pPr>
      <w:bookmarkStart w:name="heading_8" w:id="8"/>
      <w:r>
        <w:rPr>
          <w:rFonts w:eastAsia="等线" w:ascii="Arial" w:cs="Arial" w:hAnsi="Arial"/>
          <w:b w:val="true"/>
          <w:color w:val="245bdb"/>
          <w:sz w:val="36"/>
        </w:rPr>
        <w:t xml:space="preserve">5. </w:t>
      </w:r>
      <w:r>
        <w:rPr>
          <w:rFonts w:eastAsia="等线" w:ascii="Arial" w:cs="Arial" w:hAnsi="Arial"/>
          <w:b w:val="true"/>
          <w:sz w:val="36"/>
        </w:rPr>
        <w:t>流程文件评审</w:t>
      </w:r>
      <w:bookmarkEnd w:id="8"/>
    </w:p>
    <w:p>
      <w:pPr>
        <w:pStyle w:val="2"/>
        <w:spacing w:before="320" w:after="120" w:line="288" w:lineRule="auto"/>
        <w:ind w:left="0"/>
        <w:jc w:val="left"/>
        <w:outlineLvl w:val="1"/>
      </w:pPr>
      <w:bookmarkStart w:name="heading_9" w:id="9"/>
      <w:r>
        <w:rPr>
          <w:rFonts w:eastAsia="等线" w:ascii="Arial" w:cs="Arial" w:hAnsi="Arial"/>
          <w:b w:val="true"/>
          <w:color w:val="245bdb"/>
          <w:sz w:val="32"/>
        </w:rPr>
        <w:t xml:space="preserve">5.1 </w:t>
      </w:r>
      <w:r>
        <w:rPr>
          <w:rFonts w:eastAsia="等线" w:ascii="Arial" w:cs="Arial" w:hAnsi="Arial"/>
          <w:b w:val="true"/>
          <w:sz w:val="32"/>
        </w:rPr>
        <w:t xml:space="preserve">流程卡 </w:t>
      </w:r>
      <w:bookmarkEnd w:id="9"/>
    </w:p>
    <w:p>
      <w:pPr>
        <w:spacing w:before="120" w:after="120" w:line="288" w:lineRule="auto"/>
        <w:ind w:left="0" w:firstLine="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10" w:id="10"/>
      <w:r>
        <w:rPr>
          <w:rFonts w:eastAsia="等线" w:ascii="Arial" w:cs="Arial" w:hAnsi="Arial"/>
          <w:b w:val="true"/>
          <w:color w:val="245bdb"/>
          <w:sz w:val="32"/>
        </w:rPr>
        <w:t xml:space="preserve">5.2 </w:t>
      </w:r>
      <w:r>
        <w:rPr>
          <w:rFonts w:eastAsia="等线" w:ascii="Arial" w:cs="Arial" w:hAnsi="Arial"/>
          <w:b w:val="true"/>
          <w:sz w:val="32"/>
        </w:rPr>
        <w:t>流程图</w:t>
      </w:r>
      <w:bookmarkEnd w:id="10"/>
    </w:p>
    <w:p>
      <w:pPr>
        <w:pStyle w:val="3"/>
        <w:spacing w:before="300" w:after="120" w:line="288" w:lineRule="auto"/>
        <w:ind w:left="0"/>
        <w:jc w:val="left"/>
        <w:outlineLvl w:val="2"/>
      </w:pPr>
      <w:bookmarkStart w:name="heading_11" w:id="11"/>
      <w:r>
        <w:rPr>
          <w:rFonts w:eastAsia="等线" w:ascii="Arial" w:cs="Arial" w:hAnsi="Arial"/>
          <w:b w:val="true"/>
          <w:color w:val="245bdb"/>
          <w:sz w:val="30"/>
        </w:rPr>
        <w:t xml:space="preserve">5.2.1 </w:t>
      </w:r>
      <w:r>
        <w:rPr>
          <w:rFonts w:eastAsia="等线" w:ascii="Arial" w:cs="Arial" w:hAnsi="Arial"/>
          <w:b w:val="true"/>
          <w:sz w:val="30"/>
        </w:rPr>
        <w:t>L2流程框架（键盘图）</w:t>
      </w:r>
      <w:bookmarkEnd w:id="11"/>
    </w:p>
    <w:p>
      <w:pPr>
        <w:spacing w:before="120" w:after="120" w:line="288" w:lineRule="auto"/>
        <w:ind w:left="0" w:firstLine="420"/>
        <w:jc w:val="left"/>
      </w:pPr>
      <w:r>
        <w:rPr>
          <w:rFonts w:eastAsia="等线" w:ascii="Arial" w:cs="Arial" w:hAnsi="Arial"/>
          <w:b w:val="true"/>
          <w:sz w:val="22"/>
        </w:rPr>
        <w:t>1、L2流程键盘图</w:t>
      </w:r>
    </w:p>
    <w:p>
      <w:pPr>
        <w:spacing w:before="120" w:after="120" w:line="288" w:lineRule="auto"/>
        <w:ind w:left="0"/>
        <w:jc w:val="center"/>
      </w:pPr>
      <w:r>
        <w:drawing>
          <wp:inline distT="0" distR="0" distB="0" distL="0">
            <wp:extent cx="5257800" cy="24574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457450"/>
                    </a:xfrm>
                    <a:prstGeom prst="rect">
                      <a:avLst/>
                    </a:prstGeom>
                  </pic:spPr>
                </pic:pic>
              </a:graphicData>
            </a:graphic>
          </wp:inline>
        </w:drawing>
      </w:r>
    </w:p>
    <w:p>
      <w:pPr>
        <w:spacing w:before="120" w:after="120" w:line="288" w:lineRule="auto"/>
        <w:ind w:left="0" w:firstLine="420"/>
        <w:jc w:val="left"/>
      </w:pPr>
    </w:p>
    <w:p>
      <w:pPr>
        <w:pStyle w:val="3"/>
        <w:spacing w:before="300" w:after="120" w:line="288" w:lineRule="auto"/>
        <w:ind w:left="0"/>
        <w:jc w:val="left"/>
        <w:outlineLvl w:val="2"/>
      </w:pPr>
      <w:bookmarkStart w:name="heading_12" w:id="12"/>
      <w:r>
        <w:rPr>
          <w:rFonts w:eastAsia="等线" w:ascii="Arial" w:cs="Arial" w:hAnsi="Arial"/>
          <w:b w:val="true"/>
          <w:color w:val="245bdb"/>
          <w:sz w:val="30"/>
        </w:rPr>
        <w:t xml:space="preserve">5.2.2 </w:t>
      </w:r>
      <w:r>
        <w:rPr>
          <w:rFonts w:eastAsia="等线" w:ascii="Arial" w:cs="Arial" w:hAnsi="Arial"/>
          <w:b w:val="true"/>
          <w:sz w:val="30"/>
        </w:rPr>
        <w:t>L2流程示意图</w:t>
      </w:r>
      <w:bookmarkEnd w:id="12"/>
    </w:p>
    <w:p>
      <w:pPr>
        <w:spacing w:before="120" w:after="120" w:line="288" w:lineRule="auto"/>
        <w:ind w:left="0"/>
        <w:jc w:val="center"/>
      </w:pPr>
      <w:r>
        <w:drawing>
          <wp:inline distT="0" distR="0" distB="0" distL="0">
            <wp:extent cx="5257800" cy="22479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247900"/>
                    </a:xfrm>
                    <a:prstGeom prst="rect">
                      <a:avLst/>
                    </a:prstGeom>
                  </pic:spPr>
                </pic:pic>
              </a:graphicData>
            </a:graphic>
          </wp:inline>
        </w:drawing>
      </w:r>
    </w:p>
    <w:p>
      <w:pPr>
        <w:spacing w:before="120" w:after="120" w:line="288" w:lineRule="auto"/>
        <w:ind w:left="0" w:firstLine="0"/>
        <w:jc w:val="left"/>
      </w:pPr>
    </w:p>
    <w:p>
      <w:pPr>
        <w:pStyle w:val="3"/>
        <w:spacing w:before="300" w:after="120" w:line="288" w:lineRule="auto"/>
        <w:ind w:left="0"/>
        <w:jc w:val="left"/>
        <w:outlineLvl w:val="2"/>
      </w:pPr>
      <w:bookmarkStart w:name="heading_13" w:id="13"/>
      <w:r>
        <w:rPr>
          <w:rFonts w:eastAsia="等线" w:ascii="Arial" w:cs="Arial" w:hAnsi="Arial"/>
          <w:b w:val="true"/>
          <w:color w:val="245bdb"/>
          <w:sz w:val="30"/>
        </w:rPr>
        <w:t xml:space="preserve">5.2.3 </w:t>
      </w:r>
      <w:r>
        <w:rPr>
          <w:rFonts w:eastAsia="等线" w:ascii="Arial" w:cs="Arial" w:hAnsi="Arial"/>
          <w:b w:val="true"/>
          <w:sz w:val="30"/>
        </w:rPr>
        <w:t>L3流程图</w:t>
      </w:r>
      <w:bookmarkEnd w:id="13"/>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L3示意图：</w:t>
      </w:r>
    </w:p>
    <w:p>
      <w:pPr>
        <w:spacing w:before="120" w:after="120" w:line="288" w:lineRule="auto"/>
        <w:ind w:left="0" w:firstLine="0"/>
        <w:jc w:val="left"/>
      </w:pPr>
    </w:p>
    <w:p>
      <w:pPr>
        <w:spacing w:before="120" w:after="120" w:line="288" w:lineRule="auto"/>
        <w:ind w:left="0"/>
        <w:jc w:val="center"/>
      </w:pPr>
      <w:r>
        <w:drawing>
          <wp:inline distT="0" distR="0" distB="0" distL="0">
            <wp:extent cx="5257800" cy="35623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356235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L3流程图：</w:t>
      </w:r>
    </w:p>
    <w:p>
      <w:pPr>
        <w:spacing w:before="120" w:after="120" w:line="288" w:lineRule="auto"/>
        <w:ind w:left="0"/>
        <w:jc w:val="center"/>
      </w:pPr>
      <w:r>
        <w:drawing>
          <wp:inline distT="0" distR="0" distB="0" distL="0">
            <wp:extent cx="5257800" cy="16668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1666875"/>
                    </a:xfrm>
                    <a:prstGeom prst="rect">
                      <a:avLst/>
                    </a:prstGeom>
                  </pic:spPr>
                </pic:pic>
              </a:graphicData>
            </a:graphic>
          </wp:inline>
        </w:drawing>
      </w:r>
    </w:p>
    <w:p>
      <w:pPr>
        <w:spacing w:before="120" w:after="120" w:line="288" w:lineRule="auto"/>
        <w:ind w:left="0" w:firstLine="0"/>
        <w:jc w:val="left"/>
      </w:pPr>
    </w:p>
    <w:p>
      <w:pPr>
        <w:pStyle w:val="2"/>
        <w:spacing w:before="320" w:after="120" w:line="288" w:lineRule="auto"/>
        <w:ind w:left="0"/>
        <w:jc w:val="left"/>
        <w:outlineLvl w:val="1"/>
      </w:pPr>
      <w:bookmarkStart w:name="heading_14" w:id="14"/>
      <w:r>
        <w:rPr>
          <w:rFonts w:eastAsia="等线" w:ascii="Arial" w:cs="Arial" w:hAnsi="Arial"/>
          <w:b w:val="true"/>
          <w:color w:val="245bdb"/>
          <w:sz w:val="32"/>
        </w:rPr>
        <w:t xml:space="preserve">5.3 </w:t>
      </w:r>
      <w:r>
        <w:rPr>
          <w:rFonts w:eastAsia="等线" w:ascii="Arial" w:cs="Arial" w:hAnsi="Arial"/>
          <w:b w:val="true"/>
          <w:sz w:val="32"/>
        </w:rPr>
        <w:t>流程活动说明</w:t>
      </w:r>
      <w:bookmarkEnd w:id="14"/>
    </w:p>
    <w:p>
      <w:pPr>
        <w:pStyle w:val="3"/>
        <w:spacing w:before="300" w:after="120" w:line="288" w:lineRule="auto"/>
        <w:ind w:left="0"/>
        <w:jc w:val="left"/>
        <w:outlineLvl w:val="2"/>
      </w:pPr>
      <w:bookmarkStart w:name="heading_15" w:id="15"/>
      <w:r>
        <w:rPr>
          <w:rFonts w:eastAsia="等线" w:ascii="Arial" w:cs="Arial" w:hAnsi="Arial"/>
          <w:b w:val="true"/>
          <w:color w:val="245bdb"/>
          <w:sz w:val="30"/>
        </w:rPr>
        <w:t xml:space="preserve">5.3.1 </w:t>
      </w:r>
      <w:r>
        <w:rPr>
          <w:rFonts w:eastAsia="等线" w:ascii="Arial" w:cs="Arial" w:hAnsi="Arial"/>
          <w:b w:val="true"/>
          <w:sz w:val="30"/>
        </w:rPr>
        <w:t>流程活动说明</w:t>
      </w:r>
      <w:bookmarkEnd w:id="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5"/>
        <w:gridCol w:w="375"/>
        <w:gridCol w:w="585"/>
        <w:gridCol w:w="1350"/>
        <w:gridCol w:w="375"/>
        <w:gridCol w:w="465"/>
        <w:gridCol w:w="825"/>
        <w:gridCol w:w="705"/>
        <w:gridCol w:w="900"/>
        <w:gridCol w:w="525"/>
        <w:gridCol w:w="675"/>
        <w:gridCol w:w="450"/>
        <w:gridCol w:w="390"/>
        <w:gridCol w:w="375"/>
      </w:tblGrid>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编号</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活动</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执行角色/岗位</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流程活动说明</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是否是KCP/KDP</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输入标准</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输出标准</w:t>
            </w:r>
          </w:p>
          <w:p>
            <w:pPr>
              <w:spacing w:before="120" w:after="120" w:line="288" w:lineRule="auto"/>
              <w:ind w:left="0"/>
              <w:jc w:val="left"/>
            </w:pPr>
            <w:r>
              <w:rPr>
                <w:rFonts w:eastAsia="等线" w:ascii="Arial" w:cs="Arial" w:hAnsi="Arial"/>
                <w:sz w:val="22"/>
              </w:rPr>
              <w:t>（良品条件）</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活动难点/关键点说明</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业务变化点说明（与之前的主要变化点）</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指导书</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工作模板</w:t>
            </w:r>
          </w:p>
        </w:tc>
        <w:tc>
          <w:tcPr>
            <w:tcW w:w="375" w:type="dxa"/>
            <w:tcMar>
              <w:top w:type="dxa" w:w="60"/>
              <w:left w:type="dxa" w:w="120"/>
              <w:bottom w:type="dxa" w:w="30"/>
              <w:right w:type="dxa" w:w="120"/>
            </w:tcMar>
          </w:tcPr>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001A</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年度KPI指标执行与监控</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绩效管理员</w:t>
            </w:r>
          </w:p>
          <w:p>
            <w:pPr>
              <w:spacing w:before="120" w:after="120" w:line="288" w:lineRule="auto"/>
              <w:ind w:left="0"/>
              <w:jc w:val="left"/>
            </w:pPr>
            <w:r>
              <w:rPr>
                <w:rFonts w:eastAsia="等线" w:ascii="Arial" w:cs="Arial" w:hAnsi="Arial"/>
                <w:sz w:val="22"/>
              </w:rPr>
              <w:t>/运营管理员</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通过对KPI的月度/季度的数据收集，统计达成情况，针对达成情况做偏差分析，触发预警机制；组织分析讨论偏差原因，修订目标或优化执行方案</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组织和个人年度KPI</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KPI指标审批通过，确认纳入考核任务书的，指标齐全无遗漏，指标描述/计算公式和目标值精准无异议，可衡量的。</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组织和个人的KPI的达成情况、偏差分析及预警提醒，修订后的目标及改善举措和行动计划。</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数据真实可靠，计算准确，过程可追溯，举措具体可落地。</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数据真实性，设定合理的预警阈值（如±5%为绿灯，±10%为黄灯</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375" w:type="dxa"/>
            <w:tcMar>
              <w:top w:type="dxa" w:w="60"/>
              <w:left w:type="dxa" w:w="120"/>
              <w:bottom w:type="dxa" w:w="30"/>
              <w:right w:type="dxa" w:w="120"/>
            </w:tcMar>
          </w:tcPr>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001B</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确认审批和评级关系规则</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绩效管理员</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根据新年度的组织架构的变化情况，及业务管理的实际诉求，梳理不同岗位的审批和评级关系,输出审批和和二级领导评级规则</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新组织架构及矩阵管理的岗位</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新组织架构准确，矩阵岗位齐全</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审批和评级关系规则</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所有岗位/个人均有审批和评级领导准确无误，符合最新的对应关系，满足最新的管理要求。</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矩阵管理的岗位（售前、服务、固折，行业经理、项目经理，流程PO），需要调整审批和评级领导。</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矩阵管理岗位的考核权重，已从原先的完全占比100%，调整为现在的部分占比</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《矩阵式管理岗位的QBC绩效管理指导书》</w:t>
            </w:r>
          </w:p>
          <w:p>
            <w:pPr>
              <w:spacing w:before="120" w:after="120" w:line="288" w:lineRule="auto"/>
              <w:ind w:left="0"/>
              <w:jc w:val="left"/>
            </w:pPr>
            <w:hyperlink r:id="rId8">
              <w:r>
                <w:rPr>
                  <w:rFonts w:eastAsia="等线" w:ascii="Arial" w:cs="Arial" w:hAnsi="Arial"/>
                  <w:color w:val="3370ff"/>
                  <w:sz w:val="22"/>
                </w:rPr>
                <w:t>矩阵式管理岗位的QBC绩效管理指导书</w:t>
              </w:r>
            </w:hyperlink>
            <w:r>
              <w:rPr>
                <w:rFonts w:eastAsia="等线" w:ascii="Arial" w:cs="Arial" w:hAnsi="Arial"/>
                <w:sz w:val="22"/>
              </w:rPr>
              <w:t xml:space="preserve"> </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《QBC审批和评级关系设置规则》</w:t>
            </w:r>
          </w:p>
          <w:p>
            <w:pPr>
              <w:spacing w:before="120" w:after="120" w:line="288" w:lineRule="auto"/>
              <w:ind w:left="0"/>
              <w:jc w:val="left"/>
            </w:pPr>
            <w:hyperlink r:id="rId9">
              <w:r>
                <w:rPr>
                  <w:rFonts w:eastAsia="等线" w:ascii="Arial" w:cs="Arial" w:hAnsi="Arial"/>
                  <w:color w:val="3370ff"/>
                  <w:sz w:val="22"/>
                </w:rPr>
                <w:t>QBC审批和评级领导设置规则</w:t>
              </w:r>
            </w:hyperlink>
          </w:p>
          <w:p>
            <w:pPr>
              <w:spacing w:before="120" w:after="120" w:line="288" w:lineRule="auto"/>
              <w:ind w:left="0"/>
              <w:jc w:val="left"/>
            </w:pPr>
            <w:r>
              <w:rPr>
                <w:rFonts w:eastAsia="等线" w:ascii="Arial" w:cs="Arial" w:hAnsi="Arial"/>
                <w:sz w:val="22"/>
              </w:rPr>
              <w:t>《矩阵管理规则》</w:t>
            </w:r>
          </w:p>
          <w:p>
            <w:pPr>
              <w:spacing w:before="120" w:after="120" w:line="288" w:lineRule="auto"/>
              <w:ind w:left="0"/>
              <w:jc w:val="left"/>
            </w:pPr>
            <w:hyperlink r:id="rId10">
              <w:r>
                <w:rPr>
                  <w:rFonts w:eastAsia="等线" w:ascii="Arial" w:cs="Arial" w:hAnsi="Arial"/>
                  <w:color w:val="3370ff"/>
                  <w:sz w:val="22"/>
                </w:rPr>
                <w:t>矩阵管理规则</w:t>
              </w:r>
            </w:hyperlink>
          </w:p>
        </w:tc>
        <w:tc>
          <w:tcPr>
            <w:tcW w:w="375" w:type="dxa"/>
            <w:tcMar>
              <w:top w:type="dxa" w:w="60"/>
              <w:left w:type="dxa" w:w="120"/>
              <w:bottom w:type="dxa" w:w="30"/>
              <w:right w:type="dxa" w:w="120"/>
            </w:tcMar>
          </w:tcPr>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002</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配置QBC的审批和评级领导</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HRBP</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根据审批规则，调整QBC绩效管理系统中的审批领导和评级领导</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审批和评级关系规则</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满足业务需要</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符合业务标准的系统配置</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准确无误，符合最新的对应关系，满足最新的管理要求。</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矩阵管理岗位的考核权重，已从原先的完全占比100%，调整为现在的部分占比</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《矩阵式管理岗位的QBC绩效管理指导书》</w:t>
            </w:r>
          </w:p>
          <w:p>
            <w:pPr>
              <w:spacing w:before="120" w:after="120" w:line="288" w:lineRule="auto"/>
              <w:ind w:left="0"/>
              <w:jc w:val="left"/>
            </w:pPr>
            <w:hyperlink r:id="rId11">
              <w:r>
                <w:rPr>
                  <w:rFonts w:eastAsia="等线" w:ascii="Arial" w:cs="Arial" w:hAnsi="Arial"/>
                  <w:color w:val="3370ff"/>
                  <w:sz w:val="22"/>
                </w:rPr>
                <w:t>矩阵式管理岗位的QBC绩效管理指导书</w:t>
              </w:r>
            </w:hyperlink>
            <w:r>
              <w:rPr>
                <w:rFonts w:eastAsia="等线" w:ascii="Arial" w:cs="Arial" w:hAnsi="Arial"/>
                <w:sz w:val="22"/>
              </w:rPr>
              <w:t xml:space="preserve"> </w:t>
            </w:r>
          </w:p>
        </w:tc>
        <w:tc>
          <w:tcPr>
            <w:tcW w:w="390" w:type="dxa"/>
            <w:tcMar>
              <w:top w:type="dxa" w:w="60"/>
              <w:left w:type="dxa" w:w="120"/>
              <w:bottom w:type="dxa" w:w="30"/>
              <w:right w:type="dxa" w:w="120"/>
            </w:tcMar>
          </w:tcPr>
          <w:p>
            <w:pPr>
              <w:spacing w:before="120" w:after="120" w:line="288" w:lineRule="auto"/>
              <w:ind w:left="0"/>
              <w:jc w:val="left"/>
            </w:pPr>
            <w:hyperlink r:id="rId12">
              <w:r>
                <w:rPr>
                  <w:rFonts w:eastAsia="等线" w:ascii="Arial" w:cs="Arial" w:hAnsi="Arial"/>
                  <w:color w:val="3370ff"/>
                  <w:sz w:val="22"/>
                </w:rPr>
                <w:t>审批和评级关系导入模版</w:t>
              </w:r>
            </w:hyperlink>
            <w:r>
              <w:rPr>
                <w:rFonts w:eastAsia="等线" w:ascii="Arial" w:cs="Arial" w:hAnsi="Arial"/>
                <w:sz w:val="22"/>
              </w:rPr>
              <w:t>（现有模版，需要依据矩阵管理的需求It进一步开发）</w:t>
            </w:r>
          </w:p>
        </w:tc>
        <w:tc>
          <w:tcPr>
            <w:tcW w:w="375" w:type="dxa"/>
            <w:tcMar>
              <w:top w:type="dxa" w:w="60"/>
              <w:left w:type="dxa" w:w="120"/>
              <w:bottom w:type="dxa" w:w="30"/>
              <w:right w:type="dxa" w:w="120"/>
            </w:tcMar>
          </w:tcPr>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003</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下达 QBC 绩效考核通知</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绩效管理员</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由部门发文管理员通过EBG部门邮件推送考核通知</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QBC 的考核要求</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通知内容主要包含：启动时间(含自评、评价评级)，结束时间，登录路径，适用人群，主要节点动作，学习赋能，问题联系人等。</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邮件通知</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人员无遗漏，时间节点要求明确</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【通知】关于QBC-2024年Q4评分评级及2025年Q1目标制定与审批工作启动的通知.pdf</w:t>
            </w:r>
          </w:p>
        </w:tc>
        <w:tc>
          <w:tcPr>
            <w:tcW w:w="375" w:type="dxa"/>
            <w:tcMar>
              <w:top w:type="dxa" w:w="60"/>
              <w:left w:type="dxa" w:w="120"/>
              <w:bottom w:type="dxa" w:w="30"/>
              <w:right w:type="dxa" w:w="120"/>
            </w:tcMar>
          </w:tcPr>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004</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指导绩效辅导</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HRBP&amp;COE</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HRBP 和 COE 负责对主管和员工的绩效辅导的培训</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市场线管理者及员工QBC学习视频；</w:t>
            </w:r>
          </w:p>
          <w:p>
            <w:pPr>
              <w:spacing w:before="120" w:after="120" w:line="288" w:lineRule="auto"/>
              <w:ind w:left="0"/>
              <w:jc w:val="left"/>
            </w:pPr>
            <w:r>
              <w:rPr>
                <w:rFonts w:eastAsia="等线" w:ascii="Arial" w:cs="Arial" w:hAnsi="Arial"/>
                <w:sz w:val="22"/>
              </w:rPr>
              <w:t>客户体验管理者及员工QBC学习视频</w:t>
            </w:r>
          </w:p>
          <w:p>
            <w:pPr>
              <w:spacing w:before="120" w:after="120" w:line="288" w:lineRule="auto"/>
              <w:ind w:left="0"/>
              <w:jc w:val="left"/>
            </w:pPr>
            <w:r>
              <w:rPr>
                <w:rFonts w:eastAsia="等线" w:ascii="Arial" w:cs="Arial" w:hAnsi="Arial"/>
                <w:sz w:val="22"/>
              </w:rPr>
              <w:t>COE组织的绩效赋能视频课</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学习视频针对性强，通俗易懂</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培训视频或者培训指导文件</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能够清晰表明绩效目标制定、辅导的全流程操作方式</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375" w:type="dxa"/>
            <w:tcMar>
              <w:top w:type="dxa" w:w="60"/>
              <w:left w:type="dxa" w:w="120"/>
              <w:bottom w:type="dxa" w:w="30"/>
              <w:right w:type="dxa" w:w="120"/>
            </w:tcMar>
          </w:tcPr>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005</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制定QBC绩效目标</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主管（直线主管和矩阵管理主管）和员工</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主管和员工一起制定考核目标、关键举措和行动计划，并达成共识</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年度考核任务、KPI、岗位职责，角色澄清表</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签署完成的考核任务书，上下级对标过的岗位职责和角色澄清表</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双方达成一致的目标（系统中填写并审批完成）</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指标符合smart原则，权重符合矩阵管理规则的要求，且上下对齐，共识过。</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矩阵管理岗位的考核权重，已从原先的完全占比100%，调整为现在的部分占比</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《如何制定一份高效的绩效目标》</w:t>
            </w:r>
            <w:hyperlink r:id="rId13">
              <w:r>
                <w:rPr>
                  <w:rFonts w:eastAsia="等线" w:ascii="Arial" w:cs="Arial" w:hAnsi="Arial"/>
                  <w:color w:val="3370ff"/>
                  <w:sz w:val="22"/>
                </w:rPr>
                <w:t>如何制定一份高质量的QBC</w:t>
              </w:r>
            </w:hyperlink>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375" w:type="dxa"/>
            <w:tcMar>
              <w:top w:type="dxa" w:w="60"/>
              <w:left w:type="dxa" w:w="120"/>
              <w:bottom w:type="dxa" w:w="30"/>
              <w:right w:type="dxa" w:w="120"/>
            </w:tcMar>
          </w:tcPr>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006</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绩效辅导</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主管（直线主管和矩阵管理主管）和员工</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绩效管理周期内，管理者需例行收集和记录员工绩效事实和关键行为事件，开展周边调查，辅导和帮助员工达成高绩效目标</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员工绩效事实、关键行为，即周边调查的结果</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绩效事实客观，数据准确，符合时效要求</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可在系统中记录辅导结果和过程</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过程中沟通指导及时，且记录完整。</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375" w:type="dxa"/>
            <w:tcMar>
              <w:top w:type="dxa" w:w="60"/>
              <w:left w:type="dxa" w:w="120"/>
              <w:bottom w:type="dxa" w:w="30"/>
              <w:right w:type="dxa" w:w="120"/>
            </w:tcMar>
          </w:tcPr>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007</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绩效评价</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主管（直线主管和矩阵管理主管）和员工</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员工收到QBC考核通知后，填写完成情况并自评，主管评价评级，通过审批后生效</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员工的绩效成绩</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人员无遗漏，成绩准确，且主管审批通过</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绩效分数和绩效分类结果</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数据真实有效，按时提交，内容完整。</w:t>
            </w:r>
          </w:p>
          <w:p>
            <w:pPr>
              <w:spacing w:before="120" w:after="120" w:line="288" w:lineRule="auto"/>
              <w:ind w:left="0"/>
              <w:jc w:val="left"/>
            </w:pPr>
            <w:r>
              <w:rPr>
                <w:rFonts w:eastAsia="等线" w:ascii="Arial" w:cs="Arial" w:hAnsi="Arial"/>
                <w:sz w:val="22"/>
              </w:rPr>
              <w:t>评价结果需要客观、公正、准确</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375" w:type="dxa"/>
            <w:tcMar>
              <w:top w:type="dxa" w:w="60"/>
              <w:left w:type="dxa" w:w="120"/>
              <w:bottom w:type="dxa" w:w="30"/>
              <w:right w:type="dxa" w:w="120"/>
            </w:tcMar>
          </w:tcPr>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008</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绩效反馈</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主管（直线主管和矩阵管理主管）和员工</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主管就考核结果向员工进行面对面反馈，内容包括肯定成绩、指出不足及改进措施、共同制订下一步目标或计划等</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员工自评、绩效成绩</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数据客观，真实，按时提交，内容完整。</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沟通反馈记录</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双向沟通：</w:t>
            </w:r>
          </w:p>
          <w:p>
            <w:pPr>
              <w:spacing w:before="120" w:after="120" w:line="288" w:lineRule="auto"/>
              <w:ind w:left="0"/>
              <w:jc w:val="left"/>
            </w:pPr>
            <w:r>
              <w:rPr>
                <w:rFonts w:eastAsia="等线" w:ascii="Arial" w:cs="Arial" w:hAnsi="Arial"/>
                <w:sz w:val="22"/>
              </w:rPr>
              <w:t>主管分析员工的优点和不足，提出改进建议，并共同制定绩效改进计划；</w:t>
            </w:r>
          </w:p>
          <w:p>
            <w:pPr>
              <w:spacing w:before="120" w:after="120" w:line="288" w:lineRule="auto"/>
              <w:ind w:left="0"/>
              <w:jc w:val="left"/>
            </w:pPr>
            <w:r>
              <w:rPr>
                <w:rFonts w:eastAsia="等线" w:ascii="Arial" w:cs="Arial" w:hAnsi="Arial"/>
                <w:sz w:val="22"/>
              </w:rPr>
              <w:t>员工对管理人员的评估结果和改进建议进行反馈。</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375" w:type="dxa"/>
            <w:tcMar>
              <w:top w:type="dxa" w:w="60"/>
              <w:left w:type="dxa" w:w="120"/>
              <w:bottom w:type="dxa" w:w="30"/>
              <w:right w:type="dxa" w:w="120"/>
            </w:tcMar>
          </w:tcPr>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009</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管理者季度QBC评级结果公示</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绩效管理员</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一个绩效管理周期结束后，绩效管理员利用飞书多维表格制作个人QBC结果查询系统，并发布当季的管理者QBC评级结果公示的正式邮件</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QBC评级结果</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评级结果和系统中的保持一致，无人员遗漏</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公示邮件</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评级结果符合强制分布要求</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【通告】企业级网络事业群2024年第四季度管理者QBC评级结果公示.pdf</w:t>
            </w:r>
          </w:p>
        </w:tc>
        <w:tc>
          <w:tcPr>
            <w:tcW w:w="375" w:type="dxa"/>
            <w:tcMar>
              <w:top w:type="dxa" w:w="60"/>
              <w:left w:type="dxa" w:w="120"/>
              <w:bottom w:type="dxa" w:w="30"/>
              <w:right w:type="dxa" w:w="120"/>
            </w:tcMar>
          </w:tcPr>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010</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QBC年度评价结果输出</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绩效管理员</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绩效管理员根据4个季度的QBC成绩和结果，最终输出全年的QBC成绩和分类结果</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4个季度的QBC成绩和QBC评级结果</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人员无遗漏，评分和评级结果一致。</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年度QBC成绩和评级结果</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所有参与QBC管理的人员，都必须输出年度QBC的评级结果。评级结果符合QBC的强制分布要求</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鉴于Q4评级结果输出较晚，只能取前3个季度的结果作为全年的QBC的评级结果，不能满足年度评分要求，故调整Q4时间安排，将Q4平均分纳入。</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375" w:type="dxa"/>
            <w:tcMar>
              <w:top w:type="dxa" w:w="60"/>
              <w:left w:type="dxa" w:w="120"/>
              <w:bottom w:type="dxa" w:w="30"/>
              <w:right w:type="dxa" w:w="120"/>
            </w:tcMar>
          </w:tcPr>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011</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输出组织年度任务考核结果及年度评估总结</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绩效管理员</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绩效管理员组织全年阿米巴组织和个人的业绩完成情况和KPI完成情况统计，并依据年初签署的考核任务书的方案核算阿米巴组织和个人的年度考核成绩，并输出评估报告</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业务目标完成情况统计、KPI完成情况统计、考核任务书</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主管和人员确认过的业务目标和KPI完成情况</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阿米巴组织的考核结果、</w:t>
            </w:r>
          </w:p>
          <w:p>
            <w:pPr>
              <w:spacing w:before="120" w:after="120" w:line="288" w:lineRule="auto"/>
              <w:ind w:left="0"/>
              <w:jc w:val="left"/>
            </w:pPr>
            <w:r>
              <w:rPr>
                <w:rFonts w:eastAsia="等线" w:ascii="Arial" w:cs="Arial" w:hAnsi="Arial"/>
                <w:sz w:val="22"/>
              </w:rPr>
              <w:t>个人年考核任务书结果、</w:t>
            </w:r>
          </w:p>
          <w:p>
            <w:pPr>
              <w:spacing w:before="120" w:after="120" w:line="288" w:lineRule="auto"/>
              <w:ind w:left="0"/>
              <w:jc w:val="left"/>
            </w:pPr>
            <w:r>
              <w:rPr>
                <w:rFonts w:eastAsia="等线" w:ascii="Arial" w:cs="Arial" w:hAnsi="Arial"/>
                <w:sz w:val="22"/>
              </w:rPr>
              <w:t>评估报告</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按照考核任务书约定进行核算，且无遗漏；</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375" w:type="dxa"/>
            <w:tcMar>
              <w:top w:type="dxa" w:w="60"/>
              <w:left w:type="dxa" w:w="120"/>
              <w:bottom w:type="dxa" w:w="30"/>
              <w:right w:type="dxa" w:w="120"/>
            </w:tcMar>
          </w:tcPr>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012</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收集整理年度绩效结果并输出绩效分类结果</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HRBP</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收集并整理组织和个人的年度绩效结果，包含不限于 QBC 结果、任务完成情况、KPI 结果、月度考核</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业务目标和KPI指标达成情况，月考核分数，QBC 分数及分类结果</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人员信息无遗漏，数据准确无误</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组织和个人的年度绩效成绩汇总表</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输出绩效分类结果符合对年度绩效分类的要求，且无人员遗漏</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013</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开展年度 SC</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HR、直线主管、员工</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HR 部门发布 SC 启动通知后，依次推进员工自评、上级评价、结果分级分类、部门与公司两级人才盘点，最终完成结果反馈、组织公示及数据归档。</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年度绩效考核分级分类结果</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人员无遗漏，所有数据均经过审批的，且无申诉。</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 分类结果</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输出的SC结果符合公司的强制分布，且跟员工沟通达成一致，无申述</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014</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组织个人/组织年奖金核算</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绩效管理员、运营管理员</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绩效管理员依据年度考核任务书约定的考核方式核算组织和个人的奖金包</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业务目标完成情况、KPI 完成情况、考核任务书</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人员无遗漏，数据准确</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组织奖金包、个人奖金包</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准确无遗漏</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015</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年奖金分配/年奖金沟通</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直线主管、员工</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在奖金包范围内，主管制作最终的分配方案，获批后安排年奖金的向下沟通</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个人奖金基值、组织奖金包、个人奖金包</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人员无遗漏，数据准确</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个人奖金发放表</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姓名，工号，发放金额，发薪币种均准确，无遗漏</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发薪币种为外币的，需要按照汇率转换时外币币种的金额</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016</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绩效结果的拓展应用</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绩效管理员、HR，直线主管</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绩效结果除直接用于年奖金发放外，绩效评估报告还会作为下一年度绩效考核指标的输入参考项。绩效结果通过 SC 评级分类后，还会运用到年度评优、管理者任命，任职资格评估、岗位晋升及培养发展等一系列人力资源管理活动中</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个人绩效结果，个人考核任务书</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签署过的考核任务书，绩效考核结果准确，无遗漏</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晋升名单、评优名单、职级晋升名单、调薪名单，绩效改进名单、高潜名单，SC 评估结果等</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输出名单完整，无遗漏。</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r>
    </w:tbl>
    <w:p>
      <w:pPr>
        <w:spacing w:before="120" w:after="120" w:line="288" w:lineRule="auto"/>
        <w:ind w:left="0" w:firstLine="0"/>
        <w:jc w:val="left"/>
      </w:pPr>
    </w:p>
    <w:p>
      <w:pPr>
        <w:pStyle w:val="3"/>
        <w:spacing w:before="300" w:after="120" w:line="288" w:lineRule="auto"/>
        <w:ind w:left="0"/>
        <w:jc w:val="left"/>
        <w:outlineLvl w:val="2"/>
      </w:pPr>
      <w:bookmarkStart w:name="heading_16" w:id="16"/>
      <w:r>
        <w:rPr>
          <w:rFonts w:eastAsia="等线" w:ascii="Arial" w:cs="Arial" w:hAnsi="Arial"/>
          <w:b w:val="true"/>
          <w:sz w:val="30"/>
        </w:rPr>
        <w:t>5.3.6 主要角色活动说明</w:t>
      </w:r>
      <w:bookmarkEnd w:id="16"/>
    </w:p>
    <w:p>
      <w:pPr>
        <w:pStyle w:val="4"/>
        <w:spacing w:before="260" w:after="120" w:line="288" w:lineRule="auto"/>
        <w:ind w:left="0"/>
        <w:jc w:val="left"/>
        <w:outlineLvl w:val="3"/>
      </w:pPr>
      <w:bookmarkStart w:name="heading_17" w:id="17"/>
      <w:r>
        <w:rPr>
          <w:rFonts w:eastAsia="等线" w:ascii="Arial" w:cs="Arial" w:hAnsi="Arial"/>
          <w:b w:val="true"/>
          <w:sz w:val="28"/>
        </w:rPr>
        <w:t>5.3.6.1 主管活动说明：</w:t>
      </w:r>
      <w:bookmarkEnd w:id="17"/>
    </w:p>
    <w:p>
      <w:pPr>
        <w:spacing w:before="120" w:after="120" w:line="288" w:lineRule="auto"/>
        <w:ind w:left="0" w:firstLine="0"/>
        <w:jc w:val="left"/>
      </w:pPr>
      <w:r>
        <w:rPr>
          <w:rFonts w:eastAsia="等线" w:ascii="Arial" w:cs="Arial" w:hAnsi="Arial"/>
          <w:sz w:val="22"/>
        </w:rPr>
        <w:t>主管（QBC系统中参与员工的指标制定、评价评级的审批领导，包含：组织架构中直接上级、指定的审批领导、矩阵管理主管如：</w:t>
      </w:r>
      <w:r>
        <w:rPr>
          <w:rFonts w:eastAsia="等线" w:ascii="Arial" w:cs="Arial" w:hAnsi="Arial"/>
          <w:b w:val="true"/>
          <w:sz w:val="22"/>
        </w:rPr>
        <w:t>系统总对行业经理，上级PO对下级PO，关键任务项目经理对子项目经理</w:t>
      </w:r>
      <w:r>
        <w:rPr>
          <w:rFonts w:eastAsia="等线" w:ascii="Arial" w:cs="Arial" w:hAnsi="Arial"/>
          <w:sz w:val="22"/>
        </w:rPr>
        <w:t>）</w:t>
      </w:r>
    </w:p>
    <w:p>
      <w:pPr>
        <w:spacing w:before="120" w:after="120" w:line="288" w:lineRule="auto"/>
        <w:ind w:left="0" w:firstLine="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8" w:id="18"/>
      <w:r>
        <w:rPr>
          <w:rFonts w:eastAsia="等线" w:ascii="Arial" w:cs="Arial" w:hAnsi="Arial"/>
          <w:b w:val="true"/>
          <w:sz w:val="28"/>
        </w:rPr>
        <w:t>5.3.6.2 绩效管理员活动说明：</w:t>
      </w:r>
      <w:bookmarkEnd w:id="18"/>
    </w:p>
    <w:p>
      <w:pPr>
        <w:spacing w:before="120" w:after="120" w:line="288" w:lineRule="auto"/>
        <w:ind w:left="0" w:firstLine="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9" w:id="19"/>
      <w:bookmarkEnd w:id="19"/>
    </w:p>
    <w:p>
      <w:pPr>
        <w:pStyle w:val="2"/>
        <w:spacing w:before="320" w:after="120" w:line="288" w:lineRule="auto"/>
        <w:ind w:left="0"/>
        <w:jc w:val="left"/>
        <w:outlineLvl w:val="1"/>
      </w:pPr>
      <w:bookmarkStart w:name="heading_20" w:id="20"/>
      <w:r>
        <w:rPr>
          <w:rFonts w:eastAsia="等线" w:ascii="Arial" w:cs="Arial" w:hAnsi="Arial"/>
          <w:b w:val="true"/>
          <w:color w:val="245bdb"/>
          <w:sz w:val="32"/>
        </w:rPr>
        <w:t xml:space="preserve">5.4 </w:t>
      </w:r>
      <w:r>
        <w:rPr>
          <w:rFonts w:eastAsia="等线" w:ascii="Arial" w:cs="Arial" w:hAnsi="Arial"/>
          <w:b w:val="true"/>
          <w:sz w:val="32"/>
        </w:rPr>
        <w:t>KCP/KDP说明及指导书（参考下面做优化）</w:t>
      </w:r>
      <w:bookmarkEnd w:id="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20"/>
        <w:gridCol w:w="1620"/>
        <w:gridCol w:w="1080"/>
        <w:gridCol w:w="1215"/>
        <w:gridCol w:w="2025"/>
        <w:gridCol w:w="720"/>
      </w:tblGrid>
      <w:tr>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关键节点</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控制点</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KCP/KDP说明</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KCP/KDP负责人</w:t>
            </w:r>
          </w:p>
        </w:tc>
        <w:tc>
          <w:tcPr>
            <w:tcW w:w="20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指导书</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备注</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M1.5.1绩效评估</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KCP：确认审批和评级关系规则</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从岗位落实到每个人的审批和评级关系</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绩效管理员</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模版：</w:t>
            </w:r>
            <w:hyperlink r:id="rId14">
              <w:r>
                <w:rPr>
                  <w:rFonts w:eastAsia="等线" w:ascii="Arial" w:cs="Arial" w:hAnsi="Arial"/>
                  <w:color w:val="3370ff"/>
                  <w:sz w:val="22"/>
                </w:rPr>
                <w:t>矩阵管理规则</w:t>
              </w:r>
            </w:hyperlink>
          </w:p>
        </w:tc>
        <w:tc>
          <w:tcPr>
            <w:tcW w:w="720" w:type="dxa"/>
            <w:tcMar>
              <w:top w:type="dxa" w:w="60"/>
              <w:left w:type="dxa" w:w="120"/>
              <w:bottom w:type="dxa" w:w="30"/>
              <w:right w:type="dxa" w:w="120"/>
            </w:tcMar>
          </w:tcPr>
          <w:p>
            <w:pPr>
              <w:spacing w:before="120" w:after="120" w:line="288" w:lineRule="auto"/>
              <w:ind w:left="0"/>
              <w:jc w:val="left"/>
            </w:pP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M1.5.1绩效评估</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KCP：矩阵管理岗位的QBC管理，指标制定，评价流程走向</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按照按照指标权限分别由矩阵管理主管和直线主管评价，直线主管给出评级结果</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矩阵管理主管，直线主管</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《矩阵式管理岗位的QBC绩效管理指导书》</w:t>
            </w:r>
          </w:p>
          <w:p>
            <w:pPr>
              <w:spacing w:before="120" w:after="120" w:line="288" w:lineRule="auto"/>
              <w:ind w:left="0"/>
              <w:jc w:val="left"/>
            </w:pPr>
            <w:hyperlink r:id="rId15">
              <w:r>
                <w:rPr>
                  <w:rFonts w:eastAsia="等线" w:ascii="Arial" w:cs="Arial" w:hAnsi="Arial"/>
                  <w:color w:val="3370ff"/>
                  <w:sz w:val="22"/>
                </w:rPr>
                <w:t>矩阵式管理岗位的QBC绩效管理指导书</w:t>
              </w:r>
            </w:hyperlink>
            <w:r>
              <w:rPr>
                <w:rFonts w:eastAsia="等线" w:ascii="Arial" w:cs="Arial" w:hAnsi="Arial"/>
                <w:sz w:val="22"/>
              </w:rPr>
              <w:t xml:space="preserve"> </w:t>
            </w:r>
          </w:p>
        </w:tc>
        <w:tc>
          <w:tcPr>
            <w:tcW w:w="720"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21" w:id="21"/>
      <w:r>
        <w:rPr>
          <w:rFonts w:eastAsia="等线" w:ascii="Arial" w:cs="Arial" w:hAnsi="Arial"/>
          <w:b w:val="true"/>
          <w:color w:val="245bdb"/>
          <w:sz w:val="36"/>
        </w:rPr>
        <w:t xml:space="preserve">6. </w:t>
      </w:r>
      <w:r>
        <w:rPr>
          <w:rFonts w:eastAsia="等线" w:ascii="Arial" w:cs="Arial" w:hAnsi="Arial"/>
          <w:b w:val="true"/>
          <w:sz w:val="36"/>
        </w:rPr>
        <w:t>解释权限及生效日期</w:t>
      </w:r>
      <w:bookmarkEnd w:id="21"/>
    </w:p>
    <w:p>
      <w:pPr>
        <w:spacing w:before="120" w:after="120" w:line="288" w:lineRule="auto"/>
        <w:ind w:left="0" w:firstLine="0"/>
        <w:jc w:val="left"/>
      </w:pPr>
      <w:r>
        <w:rPr>
          <w:rFonts w:eastAsia="等线" w:ascii="Arial" w:cs="Arial" w:hAnsi="Arial"/>
          <w:sz w:val="22"/>
        </w:rPr>
        <w:t>本文档的解释权归属流程管理部。</w:t>
      </w:r>
    </w:p>
    <w:p>
      <w:pPr>
        <w:spacing w:before="120" w:after="120" w:line="288" w:lineRule="auto"/>
        <w:ind w:left="0" w:firstLine="0"/>
        <w:jc w:val="left"/>
      </w:pPr>
      <w:r>
        <w:rPr>
          <w:rFonts w:eastAsia="等线" w:ascii="Arial" w:cs="Arial" w:hAnsi="Arial"/>
          <w:sz w:val="22"/>
        </w:rPr>
        <w:t>本文档自发布之日起至V1.0版本发布前生效。</w:t>
      </w:r>
    </w:p>
    <w:p>
      <w:pPr>
        <w:spacing w:before="120" w:after="120" w:line="288" w:lineRule="auto"/>
        <w:ind w:left="0" w:firstLine="0"/>
        <w:jc w:val="left"/>
      </w:pPr>
    </w:p>
    <w:p>
      <w:pPr>
        <w:spacing w:before="120" w:after="120" w:line="288" w:lineRule="auto"/>
        <w:ind w:left="0" w:firstLine="0"/>
        <w:jc w:val="left"/>
      </w:pPr>
    </w:p>
    <w:p>
      <w:pPr>
        <w:pStyle w:val="1"/>
        <w:spacing w:before="380" w:after="140" w:line="288" w:lineRule="auto"/>
        <w:ind w:left="0"/>
        <w:jc w:val="left"/>
        <w:outlineLvl w:val="0"/>
      </w:pPr>
      <w:bookmarkStart w:name="heading_22" w:id="22"/>
      <w:r>
        <w:rPr>
          <w:rFonts w:eastAsia="等线" w:ascii="Arial" w:cs="Arial" w:hAnsi="Arial"/>
          <w:b w:val="true"/>
          <w:color w:val="245bdb"/>
          <w:sz w:val="36"/>
        </w:rPr>
        <w:t xml:space="preserve">7. </w:t>
      </w:r>
      <w:r>
        <w:rPr>
          <w:rFonts w:eastAsia="等线" w:ascii="Arial" w:cs="Arial" w:hAnsi="Arial"/>
          <w:b w:val="true"/>
          <w:sz w:val="36"/>
        </w:rPr>
        <w:t>流程运转机制</w:t>
      </w:r>
      <w:r>
        <w:rPr>
          <w:rFonts w:eastAsia="等线" w:ascii="Arial" w:cs="Arial" w:hAnsi="Arial"/>
          <w:b w:val="true"/>
          <w:color w:val="d83931"/>
          <w:sz w:val="36"/>
        </w:rPr>
        <w:t>（立项执行及运转奖惩文件）</w:t>
      </w:r>
      <w:bookmarkEnd w:id="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05"/>
        <w:gridCol w:w="6675"/>
      </w:tblGrid>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w:t>
            </w:r>
          </w:p>
        </w:tc>
        <w:tc>
          <w:tcPr>
            <w:tcW w:w="66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流程运转机制</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M1.5 战略评估流程</w:t>
            </w:r>
          </w:p>
        </w:tc>
        <w:tc>
          <w:tcPr>
            <w:tcW w:w="6675" w:type="dxa"/>
            <w:tcMar>
              <w:top w:type="dxa" w:w="60"/>
              <w:left w:type="dxa" w:w="120"/>
              <w:bottom w:type="dxa" w:w="30"/>
              <w:right w:type="dxa" w:w="120"/>
            </w:tcMar>
          </w:tcPr>
          <w:p>
            <w:pPr>
              <w:spacing w:before="120" w:after="120" w:line="288" w:lineRule="auto"/>
              <w:ind w:left="0"/>
              <w:jc w:val="left"/>
            </w:pPr>
            <w:hyperlink r:id="rId16">
              <w:r>
                <w:rPr>
                  <w:rFonts w:eastAsia="等线" w:ascii="Arial" w:cs="Arial" w:hAnsi="Arial"/>
                  <w:color w:val="3370ff"/>
                  <w:sz w:val="22"/>
                </w:rPr>
                <w:t>战略评估流程的运转机制</w:t>
              </w:r>
            </w:hyperlink>
          </w:p>
        </w:tc>
      </w:tr>
    </w:tbl>
    <w:p>
      <w:pPr>
        <w:pStyle w:val="1"/>
        <w:spacing w:before="380" w:after="140" w:line="288" w:lineRule="auto"/>
        <w:ind w:left="0"/>
        <w:jc w:val="left"/>
        <w:outlineLvl w:val="0"/>
      </w:pPr>
      <w:bookmarkStart w:name="heading_23" w:id="23"/>
      <w:r>
        <w:rPr>
          <w:rFonts w:eastAsia="等线" w:ascii="Arial" w:cs="Arial" w:hAnsi="Arial"/>
          <w:b w:val="true"/>
          <w:color w:val="245bdb"/>
          <w:sz w:val="36"/>
        </w:rPr>
        <w:t xml:space="preserve">8. </w:t>
      </w:r>
      <w:r>
        <w:rPr>
          <w:rFonts w:eastAsia="等线" w:ascii="Arial" w:cs="Arial" w:hAnsi="Arial"/>
          <w:b w:val="true"/>
          <w:sz w:val="36"/>
        </w:rPr>
        <w:t>IT系统支持表</w:t>
      </w:r>
      <w:bookmarkEnd w:id="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45"/>
        <w:gridCol w:w="2730"/>
        <w:gridCol w:w="720"/>
        <w:gridCol w:w="825"/>
        <w:gridCol w:w="825"/>
        <w:gridCol w:w="1215"/>
        <w:gridCol w:w="1035"/>
      </w:tblGrid>
      <w:tr>
        <w:tc>
          <w:tcPr>
            <w:tcW w:w="945"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活动</w:t>
            </w:r>
          </w:p>
        </w:tc>
        <w:tc>
          <w:tcPr>
            <w:tcW w:w="27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需求</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IT系统</w:t>
            </w:r>
          </w:p>
        </w:tc>
        <w:tc>
          <w:tcPr>
            <w:tcW w:w="8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IT系统当前状态</w:t>
            </w:r>
          </w:p>
        </w:tc>
        <w:tc>
          <w:tcPr>
            <w:tcW w:w="8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是否影响V0.9跑起来</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提出人</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实现时间</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确认审批和评级关系规则</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需要按照矩阵管理规则及矩阵式管理岗位的QBC绩效管理指导书的要求开发系统</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QBC绩效管理系统</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功能缺失</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刘建</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Q2</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QBC绩效管理</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其它需求详见需求列表</w:t>
            </w:r>
            <w:hyperlink r:id="rId17">
              <w:r>
                <w:rPr>
                  <w:rFonts w:eastAsia="等线" w:ascii="Arial" w:cs="Arial" w:hAnsi="Arial"/>
                  <w:color w:val="3370ff"/>
                  <w:sz w:val="22"/>
                </w:rPr>
                <w:t>优化需求收集沟通表</w:t>
              </w:r>
            </w:hyperlink>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QBC绩效管理系统</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系统优化</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刘建，HRBP及调查问卷</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迭代持续</w:t>
            </w:r>
          </w:p>
        </w:tc>
      </w:tr>
    </w:tbl>
    <w:p>
      <w:pPr>
        <w:spacing w:before="120" w:after="120" w:line="288" w:lineRule="auto"/>
        <w:ind w:left="0" w:firstLine="0"/>
        <w:jc w:val="left"/>
      </w:pPr>
    </w:p>
    <w:p>
      <w:pPr>
        <w:spacing w:before="120" w:after="120" w:line="288" w:lineRule="auto"/>
        <w:ind w:left="0" w:firstLine="0"/>
        <w:jc w:val="left"/>
      </w:pPr>
    </w:p>
    <w:p>
      <w:pPr>
        <w:pStyle w:val="1"/>
        <w:spacing w:before="380" w:after="140" w:line="288" w:lineRule="auto"/>
        <w:ind w:left="0"/>
        <w:jc w:val="left"/>
        <w:outlineLvl w:val="0"/>
      </w:pPr>
      <w:bookmarkStart w:name="heading_24" w:id="24"/>
      <w:bookmarkEnd w:id="24"/>
    </w:p>
    <w:sectPr>
      <w:footerReference w:type="default" r:id="rId3"/>
      <w:headerReference w:type="default" r:id="rId1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ruijie.feishu.cn/sheets/F3LSscBcnhMZ1MtJLlbcIXKFnAe?from=from_copylink" TargetMode="External" Type="http://schemas.openxmlformats.org/officeDocument/2006/relationships/hyperlink"/><Relationship Id="rId11" Target="https://ruijie.feishu.cn/docx/FPWzdPsjMoAipzxxZ01cs1gtnYc" TargetMode="External" Type="http://schemas.openxmlformats.org/officeDocument/2006/relationships/hyperlink"/><Relationship Id="rId12" Target="https://ruijie.feishu.cn/wiki/ZEaXwwmYgiCelhkCHARcOzUxnsh?from=from_copylink" TargetMode="External" Type="http://schemas.openxmlformats.org/officeDocument/2006/relationships/hyperlink"/><Relationship Id="rId13" Target="https://ruijie.feishu.cn/slides/YQrkskRfxlsDHHdGcOrcs9CcnXc?from=from_copylink" TargetMode="External" Type="http://schemas.openxmlformats.org/officeDocument/2006/relationships/hyperlink"/><Relationship Id="rId14" Target="https://ruijie.feishu.cn/sheets/F3LSscBcnhMZ1MtJLlbcIXKFnAe?from=from_copylink" TargetMode="External" Type="http://schemas.openxmlformats.org/officeDocument/2006/relationships/hyperlink"/><Relationship Id="rId15" Target="https://ruijie.feishu.cn/docx/FPWzdPsjMoAipzxxZ01cs1gtnYc" TargetMode="External" Type="http://schemas.openxmlformats.org/officeDocument/2006/relationships/hyperlink"/><Relationship Id="rId16" Target="https://ruijie.feishu.cn/docx/MQJ9dldO0oKWQVx0fvocUgXknAe?from=from_copylink" TargetMode="External" Type="http://schemas.openxmlformats.org/officeDocument/2006/relationships/hyperlink"/><Relationship Id="rId17" Target="https://ruijie.feishu.cn/wiki/YhvewkSHHiOZ35khRm5cFIYznff?from=from_copylink" TargetMode="External" Type="http://schemas.openxmlformats.org/officeDocument/2006/relationships/hyperlink"/><Relationship Id="rId18"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jpeg" Type="http://schemas.openxmlformats.org/officeDocument/2006/relationships/image"/><Relationship Id="rId6" Target="media/image3.jpeg" Type="http://schemas.openxmlformats.org/officeDocument/2006/relationships/image"/><Relationship Id="rId7" Target="media/image4.jpeg" Type="http://schemas.openxmlformats.org/officeDocument/2006/relationships/image"/><Relationship Id="rId8" Target="https://ruijie.feishu.cn/docx/FPWzdPsjMoAipzxxZ01cs1gtnYc" TargetMode="External" Type="http://schemas.openxmlformats.org/officeDocument/2006/relationships/hyperlink"/><Relationship Id="rId9" Target="https://ruijie.feishu.cn/wiki/PD96weZNmicwPSkBA0ec1fv2nXf?from=from_copylink" TargetMode="External" Type="http://schemas.openxmlformats.org/officeDocument/2006/relationships/hyperlink"/></Relationships>
</file>

<file path=word/_rels/header1.xml.rels><?xml version="1.0" encoding="UTF-8" standalone="yes"?><Relationships xmlns="http://schemas.openxmlformats.org/package/2006/relationships"><Relationship Id="rId1"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2025-05-13T08:58:09Z</dcterms:created>
  <dc:creator>Apache POI</dc:creator>
</cp:coreProperties>
</file>