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M11.1 验证商机流程</w:t>
      </w:r>
      <w:r>
        <w:rPr>
          <w:rFonts w:eastAsia="等线" w:ascii="Arial" w:cs="Arial" w:hAnsi="Arial"/>
          <w:b w:val="true"/>
          <w:sz w:val="52"/>
        </w:rPr>
        <w:t>说明</w:t>
      </w:r>
      <w:r>
        <w:rPr>
          <w:rFonts w:eastAsia="等线" w:ascii="Arial" w:cs="Arial" w:hAnsi="Arial"/>
          <w:b w:val="true"/>
          <w:sz w:val="52"/>
        </w:rPr>
        <w:t>文件</w:t>
      </w:r>
      <w:r>
        <w:rPr>
          <w:rFonts w:eastAsia="等线" w:ascii="Arial" w:cs="Arial" w:hAnsi="Arial"/>
          <w:b w:val="true"/>
          <w:sz w:val="52"/>
        </w:rPr>
        <w:t>-V0.9</w:t>
      </w:r>
    </w:p>
    <w:p>
      <w:pPr>
        <w:spacing w:before="120" w:after="120" w:line="288" w:lineRule="auto"/>
        <w:ind w:left="0"/>
        <w:jc w:val="right"/>
      </w:pPr>
      <w:r>
        <w:rPr>
          <w:rFonts w:eastAsia="等线" w:ascii="Arial" w:cs="Arial" w:hAnsi="Arial"/>
          <w:sz w:val="22"/>
        </w:rPr>
        <w:t>密级：B</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 </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M11.1 验证商机流程</w:t>
      </w:r>
      <w:bookmarkEnd w:id="2"/>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410"/>
        <w:gridCol w:w="1410"/>
        <w:gridCol w:w="930"/>
      </w:tblGrid>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文件名称：验证商机流程说明文件</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文件编号：MTCV-MO-M11.1-P-验证商机-V0.9</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3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生效日期：2025/2/28</w:t>
            </w: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PO：曹曦</w:t>
            </w:r>
          </w:p>
        </w:tc>
        <w:tc>
          <w:tcPr>
            <w:tcW w:w="30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PO：汪霏</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37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w:t>
            </w:r>
            <w:r>
              <w:rPr>
                <w:rFonts w:eastAsia="等线" w:ascii="Arial" w:cs="Arial" w:hAnsi="Arial"/>
                <w:b w:val="true"/>
                <w:sz w:val="22"/>
              </w:rPr>
              <w:t>郑秀凤、余养文、黄武峰、孙振兴、付茹</w:t>
            </w: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流程PO：汪霏</w:t>
            </w:r>
          </w:p>
          <w:p>
            <w:pPr>
              <w:spacing w:before="120" w:after="120" w:line="288" w:lineRule="auto"/>
              <w:ind w:left="0"/>
              <w:jc w:val="left"/>
            </w:pPr>
            <w:r>
              <w:rPr>
                <w:rFonts w:eastAsia="等线" w:ascii="Arial" w:cs="Arial" w:hAnsi="Arial"/>
                <w:sz w:val="22"/>
              </w:rPr>
              <w:t>流程PC：赵波</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曹曦</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2025-2-28</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1. </w:t>
      </w:r>
      <w:r>
        <w:rPr>
          <w:rFonts w:eastAsia="等线" w:ascii="Arial" w:cs="Arial" w:hAnsi="Arial"/>
          <w:b w:val="true"/>
          <w:sz w:val="36"/>
        </w:rPr>
        <w:t>目的</w:t>
      </w:r>
      <w:bookmarkEnd w:id="3"/>
    </w:p>
    <w:p>
      <w:pPr>
        <w:spacing w:before="120" w:after="120" w:line="288" w:lineRule="auto"/>
        <w:ind w:left="0"/>
        <w:jc w:val="left"/>
      </w:pPr>
      <w:r>
        <w:rPr>
          <w:rFonts w:eastAsia="等线" w:ascii="Arial" w:cs="Arial" w:hAnsi="Arial"/>
          <w:sz w:val="22"/>
        </w:rPr>
        <w:t xml:space="preserve">        本流程专注于优化商机验证环节，其核心旨在确保进入销售漏斗的商机具备真实性和健康性。通过对符合条件的商机进行细致评估与分级分层管理，我们能够更精准地识别出重点商机。重点商机发起立项流程，经过立项评审决策后，一旦立项通过，即投入相应资源全力推进。</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优质的商机与高效的商机管理机制是企业稳健发展的坚实基石，对企业业绩具有举足轻重的影响。因此，我们特此发布本流程，旨在清晰界定并规范商机验证的各个环节，明确各节点的输入输出以及业务规则，从而有效指导业务活动的正常开展，确保每一步都精准无误。</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2. </w:t>
      </w:r>
      <w:r>
        <w:rPr>
          <w:rFonts w:eastAsia="等线" w:ascii="Arial" w:cs="Arial" w:hAnsi="Arial"/>
          <w:b w:val="true"/>
          <w:sz w:val="36"/>
        </w:rPr>
        <w:t>适用范围</w:t>
      </w:r>
      <w:bookmarkEnd w:id="4"/>
    </w:p>
    <w:p>
      <w:pPr>
        <w:spacing w:before="120" w:after="120" w:line="288" w:lineRule="auto"/>
        <w:ind w:left="0" w:firstLine="420"/>
        <w:jc w:val="left"/>
      </w:pPr>
      <w:r>
        <w:rPr>
          <w:rFonts w:eastAsia="等线" w:ascii="Arial" w:cs="Arial" w:hAnsi="Arial"/>
          <w:sz w:val="22"/>
        </w:rPr>
        <w:t>本流程适用于 EBG 所有销售填报且进入销售漏斗的商机业务场景。</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3. </w:t>
      </w:r>
      <w:r>
        <w:rPr>
          <w:rFonts w:eastAsia="等线" w:ascii="Arial" w:cs="Arial" w:hAnsi="Arial"/>
          <w:b w:val="true"/>
          <w:sz w:val="36"/>
        </w:rPr>
        <w:t>名词解释</w:t>
      </w:r>
      <w:bookmarkEnd w:id="5"/>
    </w:p>
    <w:p>
      <w:pPr>
        <w:spacing w:before="120" w:after="120" w:line="288" w:lineRule="auto"/>
        <w:ind w:left="0" w:firstLine="420"/>
        <w:jc w:val="left"/>
      </w:pPr>
      <w:r>
        <w:rPr>
          <w:rFonts w:eastAsia="等线" w:ascii="Arial" w:cs="Arial" w:hAnsi="Arial"/>
          <w:sz w:val="22"/>
        </w:rPr>
        <w:t>无</w:t>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4. </w:t>
      </w:r>
      <w:r>
        <w:rPr>
          <w:rFonts w:eastAsia="等线" w:ascii="Arial" w:cs="Arial" w:hAnsi="Arial"/>
          <w:b w:val="true"/>
          <w:sz w:val="36"/>
        </w:rPr>
        <w:t>职责分工</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2430"/>
        <w:gridCol w:w="4365"/>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销售代表</w:t>
            </w:r>
          </w:p>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行业客户代表、行业经理、城市客户代表、城市经理、固折销售、固折经理、渠道销售、渠道经理、服务产品销售</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肩负起商机提报工作的重任，确保所提报商机信息的准确无误。</w:t>
            </w:r>
          </w:p>
          <w:p>
            <w:pPr>
              <w:spacing w:before="120" w:after="120" w:line="288" w:lineRule="auto"/>
              <w:ind w:left="0"/>
              <w:jc w:val="left"/>
            </w:pP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销售经理</w:t>
            </w:r>
          </w:p>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区域经理、系统部本部行业经理（主管）、服务产品销售经理</w:t>
            </w:r>
          </w:p>
          <w:p>
            <w:pPr>
              <w:spacing w:before="120" w:after="120" w:line="288" w:lineRule="auto"/>
              <w:ind w:left="0"/>
              <w:jc w:val="left"/>
            </w:pP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严格把关商机审核与审批流程，保障商机质量。对审批通过商机进行分类，明确逐级立项商机，同时负责商机立项评审决策的组织与协调。</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销管BP</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各区域、系统部BP运营</w:t>
            </w:r>
          </w:p>
          <w:p>
            <w:pPr>
              <w:spacing w:before="120" w:after="120" w:line="288" w:lineRule="auto"/>
              <w:ind w:left="0"/>
              <w:jc w:val="left"/>
            </w:pP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承担商机复查的职责，确保每一项商机都符合标准。协助区域经理完成商机立项评审决策流程各阶段活动的组织与闭环活动。</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立项评审决策委员会</w:t>
            </w:r>
          </w:p>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根据商机分类情况，平台管理部、系统部、产品部、客户体验部、解决方案、销售管理部价格组和供应链部门相关人员、区域经理、销管BP</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严格把关立项项目评审流程合规性，结合评审要求对申请立项项目相关信息进行评审，明确给出决策意见，结合立项项目实际情况，进行项目组成立，明确分工，确定项目经理负责人。</w:t>
            </w:r>
          </w:p>
          <w:p>
            <w:pPr>
              <w:spacing w:before="120" w:after="120" w:line="288" w:lineRule="auto"/>
              <w:ind w:left="0"/>
              <w:jc w:val="left"/>
            </w:pPr>
          </w:p>
        </w:tc>
      </w:tr>
    </w:tbl>
    <w:p>
      <w:pPr>
        <w:pStyle w:val="1"/>
        <w:spacing w:before="380" w:after="140" w:line="288" w:lineRule="auto"/>
        <w:ind w:left="0"/>
        <w:jc w:val="left"/>
        <w:outlineLvl w:val="0"/>
      </w:pPr>
      <w:bookmarkStart w:name="heading_7" w:id="7"/>
      <w:r>
        <w:rPr>
          <w:rFonts w:eastAsia="等线" w:ascii="Arial" w:cs="Arial" w:hAnsi="Arial"/>
          <w:color w:val="3370ff"/>
          <w:sz w:val="36"/>
        </w:rPr>
        <w:t xml:space="preserve">5. </w:t>
      </w:r>
      <w:r>
        <w:rPr>
          <w:rFonts w:eastAsia="等线" w:ascii="Arial" w:cs="Arial" w:hAnsi="Arial"/>
          <w:b w:val="true"/>
          <w:sz w:val="36"/>
        </w:rPr>
        <w:t>流程文件</w:t>
      </w:r>
      <w:r>
        <w:rPr>
          <w:rFonts w:eastAsia="等线" w:ascii="Arial" w:cs="Arial" w:hAnsi="Arial"/>
          <w:b w:val="true"/>
          <w:sz w:val="36"/>
        </w:rPr>
        <w:t>说明</w:t>
      </w:r>
      <w:bookmarkEnd w:id="7"/>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5.1 </w:t>
      </w:r>
      <w:r>
        <w:rPr>
          <w:rFonts w:eastAsia="等线" w:ascii="Arial" w:cs="Arial" w:hAnsi="Arial"/>
          <w:b w:val="true"/>
          <w:sz w:val="32"/>
        </w:rPr>
        <w:t xml:space="preserve">流程卡 </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80"/>
        <w:gridCol w:w="2280"/>
        <w:gridCol w:w="885"/>
        <w:gridCol w:w="885"/>
        <w:gridCol w:w="945"/>
        <w:gridCol w:w="2220"/>
      </w:tblGrid>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流程名称</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M11.1 验证商机</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流程层级</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流程架构编码</w:t>
            </w: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M11.1</w:t>
            </w: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流程定义</w:t>
            </w:r>
          </w:p>
          <w:p>
            <w:pPr>
              <w:spacing w:before="120" w:after="120" w:line="288" w:lineRule="auto"/>
              <w:ind w:left="0"/>
              <w:jc w:val="left"/>
            </w:pP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验证商机流程是一个包括商机填报、审批进入漏斗、日常检查、商机分级评估及立项评审决策等核心步骤的系统性验证过程。</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流程目的</w:t>
            </w:r>
          </w:p>
        </w:tc>
        <w:tc>
          <w:tcPr>
            <w:tcW w:w="40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入掌握商机的基本概况，涵盖客户预算区间、基础需求、购买意向、决策链条关键人及采购时间节点等关键信息。与此同时，必须对客户的信誉状况及支付能力进行科学评估，以降低潜在风险，提升漏斗质量；对商机进行科学评估，分层分级管理，重点商机单独立项，提升赢单率及客户体验。</w:t>
            </w: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流程责任岗位</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销售经理</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上一层流程名称</w:t>
            </w:r>
          </w:p>
        </w:tc>
        <w:tc>
          <w:tcPr>
            <w:tcW w:w="40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MO 管理商机</w:t>
            </w:r>
          </w:p>
          <w:p>
            <w:pPr>
              <w:spacing w:before="120" w:after="120" w:line="288" w:lineRule="auto"/>
              <w:ind w:left="0"/>
              <w:jc w:val="left"/>
            </w:pP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包含的下层子流程或活动</w:t>
            </w:r>
          </w:p>
        </w:tc>
        <w:tc>
          <w:tcPr>
            <w:tcW w:w="72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商机提报，商机审批，商机检查，商机分类，立项申请，立项评审，立项决策</w:t>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流程输入</w:t>
            </w:r>
          </w:p>
          <w:p>
            <w:pPr>
              <w:spacing w:before="120" w:after="120" w:line="288" w:lineRule="auto"/>
              <w:ind w:left="0"/>
              <w:jc w:val="left"/>
            </w:pPr>
          </w:p>
        </w:tc>
        <w:tc>
          <w:tcPr>
            <w:tcW w:w="72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潜在客户信息，商机来源与初步评估，市场竞争与友商情况，内部资源与能力评估，其他相关信息(政策法规，行业趋势，客户反馈)</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输入标准</w:t>
            </w:r>
          </w:p>
        </w:tc>
        <w:tc>
          <w:tcPr>
            <w:tcW w:w="72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MANT+P+折扣信息清楚、完整、符合SMART原则</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流程输出</w:t>
            </w:r>
          </w:p>
        </w:tc>
        <w:tc>
          <w:tcPr>
            <w:tcW w:w="72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通过审核的一般商机记录</w:t>
            </w:r>
          </w:p>
          <w:p>
            <w:pPr>
              <w:spacing w:before="120" w:after="120" w:line="288" w:lineRule="auto"/>
              <w:ind w:left="0"/>
              <w:jc w:val="left"/>
            </w:pPr>
            <w:r>
              <w:rPr>
                <w:rFonts w:eastAsia="等线" w:ascii="Arial" w:cs="Arial" w:hAnsi="Arial"/>
                <w:sz w:val="22"/>
              </w:rPr>
              <w:t>通过立项评审的项目记录</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输出标准</w:t>
            </w:r>
          </w:p>
        </w:tc>
        <w:tc>
          <w:tcPr>
            <w:tcW w:w="72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一般商机的MANT+P+折扣信息清楚、完整、符合SMART原则</w:t>
            </w:r>
          </w:p>
          <w:p>
            <w:pPr>
              <w:spacing w:before="120" w:after="120" w:line="288" w:lineRule="auto"/>
              <w:ind w:left="0"/>
              <w:jc w:val="left"/>
            </w:pPr>
            <w:r>
              <w:rPr>
                <w:rFonts w:eastAsia="等线" w:ascii="Arial" w:cs="Arial" w:hAnsi="Arial"/>
                <w:sz w:val="22"/>
              </w:rPr>
              <w:t>立项商机的MANT+P+折扣信息清楚、完整、符合SMART原则，同时有明确的商机等级、项目经理和项目组成员名单，可执行的项目跟进计划</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流程起点</w:t>
            </w:r>
          </w:p>
        </w:tc>
        <w:tc>
          <w:tcPr>
            <w:tcW w:w="72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MANT+P+折扣目标清晰并提交商机审批</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流程终点</w:t>
            </w:r>
          </w:p>
        </w:tc>
        <w:tc>
          <w:tcPr>
            <w:tcW w:w="72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明确立项的商机和一般的商机，按不同管理方式进入下一个流程</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流程绩效指标</w:t>
            </w:r>
          </w:p>
          <w:p>
            <w:pPr>
              <w:spacing w:before="120" w:after="120" w:line="288" w:lineRule="auto"/>
              <w:ind w:left="0"/>
              <w:jc w:val="left"/>
            </w:pPr>
          </w:p>
        </w:tc>
        <w:tc>
          <w:tcPr>
            <w:tcW w:w="7215" w:type="dxa"/>
            <w:hMerge w:val="restart"/>
            <w:tcMar>
              <w:top w:type="dxa" w:w="60"/>
              <w:left w:type="dxa" w:w="120"/>
              <w:bottom w:type="dxa" w:w="30"/>
              <w:right w:type="dxa" w:w="120"/>
            </w:tcMar>
          </w:tcPr>
          <w:p>
            <w:pPr>
              <w:numPr>
                <w:numId w:val="1"/>
              </w:numPr>
              <w:spacing w:before="120" w:after="120" w:line="288" w:lineRule="auto"/>
              <w:ind w:left="0"/>
              <w:jc w:val="left"/>
            </w:pPr>
            <w:hyperlink r:id="rId5">
              <w:r>
                <w:rPr>
                  <w:rFonts w:eastAsia="等线" w:ascii="Arial" w:cs="Arial" w:hAnsi="Arial"/>
                  <w:color w:val="3370ff"/>
                  <w:sz w:val="22"/>
                </w:rPr>
                <w:t>商机漏斗质量指标</w:t>
              </w:r>
            </w:hyperlink>
          </w:p>
          <w:p>
            <w:pPr>
              <w:spacing w:before="120" w:after="120" w:line="288" w:lineRule="auto"/>
              <w:ind w:left="453"/>
              <w:jc w:val="left"/>
            </w:pPr>
            <w:r>
              <w:rPr>
                <w:rFonts w:eastAsia="等线" w:ascii="Arial" w:cs="Arial" w:hAnsi="Arial"/>
                <w:sz w:val="22"/>
              </w:rPr>
              <w:t>商机抖动率、商机预测金额准确率、商机转单率、商机创建异常率</w:t>
            </w:r>
          </w:p>
          <w:p>
            <w:pPr>
              <w:numPr>
                <w:numId w:val="2"/>
              </w:numPr>
              <w:spacing w:before="120" w:after="120" w:line="288" w:lineRule="auto"/>
              <w:ind w:left="0"/>
              <w:jc w:val="left"/>
            </w:pPr>
            <w:r>
              <w:rPr>
                <w:rFonts w:eastAsia="等线" w:ascii="Arial" w:cs="Arial" w:hAnsi="Arial"/>
                <w:sz w:val="22"/>
              </w:rPr>
              <w:t>商机评审及时审批率：</w:t>
            </w:r>
          </w:p>
          <w:p>
            <w:pPr>
              <w:spacing w:before="120" w:after="120" w:line="288" w:lineRule="auto"/>
              <w:ind w:left="453"/>
              <w:jc w:val="left"/>
            </w:pPr>
            <w:r>
              <w:rPr>
                <w:rFonts w:eastAsia="等线" w:ascii="Arial" w:cs="Arial" w:hAnsi="Arial"/>
                <w:sz w:val="22"/>
              </w:rPr>
              <w:t>定义：衡量商机进入商机审批流程后，</w:t>
            </w:r>
            <w:r>
              <w:rPr>
                <w:rFonts w:eastAsia="等线" w:ascii="Arial" w:cs="Arial" w:hAnsi="Arial"/>
                <w:sz w:val="22"/>
              </w:rPr>
              <w:t>销售</w:t>
            </w:r>
            <w:r>
              <w:rPr>
                <w:rFonts w:eastAsia="等线" w:ascii="Arial" w:cs="Arial" w:hAnsi="Arial"/>
                <w:sz w:val="22"/>
              </w:rPr>
              <w:t>经理及时审批率。</w:t>
            </w:r>
          </w:p>
          <w:p>
            <w:pPr>
              <w:spacing w:before="120" w:after="120" w:line="288" w:lineRule="auto"/>
              <w:ind w:left="453"/>
              <w:jc w:val="left"/>
            </w:pPr>
            <w:r>
              <w:rPr>
                <w:rFonts w:eastAsia="等线" w:ascii="Arial" w:cs="Arial" w:hAnsi="Arial"/>
                <w:sz w:val="22"/>
              </w:rPr>
              <w:t>计算方法：48小时内完成审批的商机数量 / 提交审批的商机数量 × 100%。</w:t>
            </w:r>
          </w:p>
          <w:p>
            <w:pPr>
              <w:spacing w:before="120" w:after="120" w:line="288" w:lineRule="auto"/>
              <w:ind w:left="453"/>
              <w:jc w:val="left"/>
            </w:pPr>
            <w:r>
              <w:rPr>
                <w:rFonts w:eastAsia="等线" w:ascii="Arial" w:cs="Arial" w:hAnsi="Arial"/>
                <w:sz w:val="22"/>
              </w:rPr>
              <w:t>重要性：反映审批流程的及时性，确保商机审批效率。</w:t>
            </w:r>
          </w:p>
          <w:p>
            <w:pPr>
              <w:numPr>
                <w:numId w:val="3"/>
              </w:numPr>
              <w:spacing w:before="120" w:after="120" w:line="288" w:lineRule="auto"/>
              <w:ind w:left="0"/>
              <w:jc w:val="left"/>
            </w:pPr>
            <w:r>
              <w:rPr>
                <w:rFonts w:eastAsia="等线" w:ascii="Arial" w:cs="Arial" w:hAnsi="Arial"/>
                <w:sz w:val="22"/>
              </w:rPr>
              <w:t>商机立项评审及时执行率：</w:t>
            </w:r>
          </w:p>
          <w:p>
            <w:pPr>
              <w:spacing w:before="120" w:after="120" w:line="288" w:lineRule="auto"/>
              <w:ind w:left="0"/>
              <w:jc w:val="left"/>
            </w:pPr>
            <w:r>
              <w:rPr>
                <w:rFonts w:eastAsia="等线" w:ascii="Arial" w:cs="Arial" w:hAnsi="Arial"/>
                <w:sz w:val="22"/>
              </w:rPr>
              <w:t xml:space="preserve">       定义：审批后商机，符合建议立项标准，需7日内发起立项评审。</w:t>
            </w:r>
          </w:p>
          <w:p>
            <w:pPr>
              <w:spacing w:before="120" w:after="120" w:line="288" w:lineRule="auto"/>
              <w:ind w:left="0"/>
              <w:jc w:val="left"/>
            </w:pPr>
            <w:r>
              <w:rPr>
                <w:rFonts w:eastAsia="等线" w:ascii="Arial" w:cs="Arial" w:hAnsi="Arial"/>
                <w:sz w:val="22"/>
              </w:rPr>
              <w:t xml:space="preserve">       计算方法：以销售周为单位，立项评审项目/建议立项评审项目×100%=及时执行率。</w:t>
            </w:r>
          </w:p>
          <w:p>
            <w:pPr>
              <w:spacing w:before="120" w:after="120" w:line="288" w:lineRule="auto"/>
              <w:ind w:left="0"/>
              <w:jc w:val="left"/>
            </w:pPr>
            <w:r>
              <w:rPr>
                <w:rFonts w:eastAsia="等线" w:ascii="Arial" w:cs="Arial" w:hAnsi="Arial"/>
                <w:sz w:val="22"/>
              </w:rPr>
              <w:t xml:space="preserve">       重要性：反映立项评审流程及时性，确保符合条件商机100%发起立项评审，明确项目经理及项目组成员、分工。</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45" w:type="dxa"/>
            <w:hMerge w:val="continue"/>
            <w:tcMar>
              <w:top w:type="dxa" w:w="60"/>
              <w:left w:type="dxa" w:w="120"/>
              <w:bottom w:type="dxa" w:w="30"/>
              <w:right w:type="dxa" w:w="120"/>
            </w:tcMar>
          </w:tcPr>
          <w:p>
            <w:pPr>
              <w:spacing w:before="120" w:after="120" w:line="288" w:lineRule="auto"/>
              <w:ind w:left="0"/>
              <w:jc w:val="left"/>
            </w:pPr>
          </w:p>
        </w:tc>
        <w:tc>
          <w:tcPr>
            <w:tcW w:w="2220"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5.2 </w:t>
      </w:r>
      <w:r>
        <w:rPr>
          <w:rFonts w:eastAsia="等线" w:ascii="Arial" w:cs="Arial" w:hAnsi="Arial"/>
          <w:b w:val="true"/>
          <w:sz w:val="32"/>
        </w:rPr>
        <w:t>流程图及说明</w:t>
      </w:r>
      <w:bookmarkEnd w:id="9"/>
    </w:p>
    <w:p>
      <w:pPr>
        <w:pStyle w:val="3"/>
        <w:spacing w:before="300" w:after="120" w:line="288" w:lineRule="auto"/>
        <w:ind w:left="453"/>
        <w:jc w:val="left"/>
        <w:outlineLvl w:val="2"/>
      </w:pPr>
      <w:bookmarkStart w:name="heading_10" w:id="10"/>
      <w:r>
        <w:rPr>
          <w:rFonts w:eastAsia="等线" w:ascii="Arial" w:cs="Arial" w:hAnsi="Arial"/>
          <w:color w:val="3370ff"/>
          <w:sz w:val="30"/>
        </w:rPr>
        <w:t xml:space="preserve">5.2.1 </w:t>
      </w:r>
      <w:r>
        <w:rPr>
          <w:rFonts w:eastAsia="等线" w:ascii="Arial" w:cs="Arial" w:hAnsi="Arial"/>
          <w:b w:val="true"/>
          <w:sz w:val="30"/>
        </w:rPr>
        <w:t>L2键盘图</w:t>
      </w:r>
      <w:bookmarkEnd w:id="10"/>
    </w:p>
    <w:p>
      <w:pPr>
        <w:spacing w:before="120" w:after="120" w:line="288" w:lineRule="auto"/>
        <w:ind w:left="453"/>
        <w:jc w:val="center"/>
      </w:pPr>
      <w:r>
        <w:drawing>
          <wp:inline distT="0" distR="0" distB="0" distL="0">
            <wp:extent cx="5257800" cy="2181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5.2.2 </w:t>
      </w:r>
      <w:r>
        <w:rPr>
          <w:rFonts w:eastAsia="等线" w:ascii="Arial" w:cs="Arial" w:hAnsi="Arial"/>
          <w:b w:val="true"/>
          <w:sz w:val="30"/>
        </w:rPr>
        <w:t>L2流程图</w:t>
      </w:r>
      <w:bookmarkEnd w:id="11"/>
    </w:p>
    <w:p>
      <w:pPr>
        <w:spacing w:before="120" w:after="120" w:line="288" w:lineRule="auto"/>
        <w:ind w:left="0"/>
        <w:jc w:val="center"/>
      </w:pPr>
      <w:r>
        <w:drawing>
          <wp:inline distT="0" distR="0" distB="0" distL="0">
            <wp:extent cx="5257800" cy="2143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143125"/>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5.2.3 </w:t>
      </w:r>
      <w:r>
        <w:rPr>
          <w:rFonts w:eastAsia="等线" w:ascii="Arial" w:cs="Arial" w:hAnsi="Arial"/>
          <w:b w:val="true"/>
          <w:sz w:val="30"/>
        </w:rPr>
        <w:t>L3示意图</w:t>
      </w:r>
      <w:bookmarkEnd w:id="12"/>
    </w:p>
    <w:p>
      <w:pPr>
        <w:spacing w:before="120" w:after="120" w:line="288" w:lineRule="auto"/>
        <w:ind w:left="0"/>
        <w:jc w:val="center"/>
      </w:pPr>
      <w:r>
        <w:drawing>
          <wp:inline distT="0" distR="0" distB="0" distL="0">
            <wp:extent cx="5257800" cy="2028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028825"/>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5.2.4 </w:t>
      </w:r>
      <w:r>
        <w:rPr>
          <w:rFonts w:eastAsia="等线" w:ascii="Arial" w:cs="Arial" w:hAnsi="Arial"/>
          <w:b w:val="true"/>
          <w:sz w:val="30"/>
        </w:rPr>
        <w:t>L3流程图</w:t>
      </w:r>
      <w:bookmarkEnd w:id="13"/>
    </w:p>
    <w:p>
      <w:pPr>
        <w:spacing w:before="120" w:after="120" w:line="288" w:lineRule="auto"/>
        <w:ind w:left="0"/>
        <w:jc w:val="center"/>
      </w:pPr>
      <w:r>
        <w:drawing>
          <wp:inline distT="0" distR="0" distB="0" distL="0">
            <wp:extent cx="5257800" cy="3724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3724275"/>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5.2.5 </w:t>
      </w:r>
      <w:r>
        <w:rPr>
          <w:rFonts w:eastAsia="等线" w:ascii="Arial" w:cs="Arial" w:hAnsi="Arial"/>
          <w:b w:val="true"/>
          <w:sz w:val="30"/>
        </w:rPr>
        <w:t>流程</w:t>
      </w:r>
      <w:r>
        <w:rPr>
          <w:rFonts w:eastAsia="等线" w:ascii="Arial" w:cs="Arial" w:hAnsi="Arial"/>
          <w:b w:val="true"/>
          <w:sz w:val="30"/>
        </w:rPr>
        <w:t>活动</w:t>
      </w:r>
      <w:r>
        <w:rPr>
          <w:rFonts w:eastAsia="等线" w:ascii="Arial" w:cs="Arial" w:hAnsi="Arial"/>
          <w:b w:val="true"/>
          <w:sz w:val="30"/>
        </w:rPr>
        <w:t>说明</w:t>
      </w:r>
      <w:bookmarkEnd w:id="14"/>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40"/>
        <w:gridCol w:w="375"/>
        <w:gridCol w:w="375"/>
        <w:gridCol w:w="1635"/>
        <w:gridCol w:w="375"/>
        <w:gridCol w:w="480"/>
        <w:gridCol w:w="795"/>
        <w:gridCol w:w="435"/>
        <w:gridCol w:w="870"/>
        <w:gridCol w:w="480"/>
        <w:gridCol w:w="735"/>
        <w:gridCol w:w="570"/>
        <w:gridCol w:w="480"/>
      </w:tblGrid>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活动/子流程</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流程活动说明</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是否有KCP/KDP</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w:t>
            </w:r>
            <w:r>
              <w:rPr>
                <w:rFonts w:eastAsia="等线" w:ascii="Arial" w:cs="Arial" w:hAnsi="Arial"/>
                <w:sz w:val="22"/>
              </w:rPr>
              <w:t>提报</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销售代表</w:t>
            </w:r>
          </w:p>
          <w:p>
            <w:pPr>
              <w:spacing w:before="120" w:after="120" w:line="288" w:lineRule="auto"/>
              <w:ind w:left="0"/>
              <w:jc w:val="left"/>
            </w:pP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1、售前在报价器完成报价清单制作并分享给销售代表。</w:t>
            </w:r>
          </w:p>
          <w:p>
            <w:pPr>
              <w:spacing w:before="120" w:after="120" w:line="288" w:lineRule="auto"/>
              <w:ind w:left="0"/>
              <w:jc w:val="left"/>
            </w:pPr>
            <w:r>
              <w:rPr>
                <w:rFonts w:eastAsia="等线" w:ascii="Arial" w:cs="Arial" w:hAnsi="Arial"/>
                <w:sz w:val="22"/>
              </w:rPr>
              <w:t>2、</w:t>
            </w:r>
            <w:r>
              <w:rPr>
                <w:rFonts w:eastAsia="等线" w:ascii="Arial" w:cs="Arial" w:hAnsi="Arial"/>
                <w:sz w:val="22"/>
              </w:rPr>
              <w:t>销售代表</w:t>
            </w:r>
            <w:r>
              <w:rPr>
                <w:rFonts w:eastAsia="等线" w:ascii="Arial" w:cs="Arial" w:hAnsi="Arial"/>
                <w:sz w:val="22"/>
              </w:rPr>
              <w:t>登录CRM，将项目预测类别调整到可能-及以上；校准预计开标时间，预计下单时间，是否备货，要求到货时间。</w:t>
            </w:r>
          </w:p>
          <w:p>
            <w:pPr>
              <w:spacing w:before="120" w:after="120" w:line="288" w:lineRule="auto"/>
              <w:ind w:left="0"/>
              <w:jc w:val="left"/>
            </w:pPr>
            <w:r>
              <w:rPr>
                <w:rFonts w:eastAsia="等线" w:ascii="Arial" w:cs="Arial" w:hAnsi="Arial"/>
                <w:sz w:val="22"/>
              </w:rPr>
              <w:t>3、</w:t>
            </w:r>
            <w:r>
              <w:rPr>
                <w:rFonts w:eastAsia="等线" w:ascii="Arial" w:cs="Arial" w:hAnsi="Arial"/>
                <w:sz w:val="22"/>
              </w:rPr>
              <w:t>销售代表通过</w:t>
            </w:r>
            <w:r>
              <w:rPr>
                <w:rFonts w:eastAsia="等线" w:ascii="Arial" w:cs="Arial" w:hAnsi="Arial"/>
                <w:sz w:val="22"/>
              </w:rPr>
              <w:t>CRM右上角点击创建报价单，将售前分享的报价单导入ECP。</w:t>
            </w:r>
          </w:p>
          <w:p>
            <w:pPr>
              <w:spacing w:before="120" w:after="120" w:line="288" w:lineRule="auto"/>
              <w:ind w:left="0"/>
              <w:jc w:val="left"/>
            </w:pPr>
            <w:r>
              <w:rPr>
                <w:rFonts w:eastAsia="等线" w:ascii="Arial" w:cs="Arial" w:hAnsi="Arial"/>
                <w:sz w:val="22"/>
              </w:rPr>
              <w:t>4、</w:t>
            </w:r>
            <w:r>
              <w:rPr>
                <w:rFonts w:eastAsia="等线" w:ascii="Arial" w:cs="Arial" w:hAnsi="Arial"/>
                <w:sz w:val="22"/>
              </w:rPr>
              <w:t>销售代表通过</w:t>
            </w:r>
            <w:r>
              <w:rPr>
                <w:rFonts w:eastAsia="等线" w:ascii="Arial" w:cs="Arial" w:hAnsi="Arial"/>
                <w:sz w:val="22"/>
              </w:rPr>
              <w:t>CRM右上角点击漏斗审批—填写项目MANT+P—点击提交</w:t>
            </w:r>
            <w:r>
              <w:rPr>
                <w:rFonts w:eastAsia="等线" w:ascii="Arial" w:cs="Arial" w:hAnsi="Arial"/>
                <w:sz w:val="22"/>
              </w:rPr>
              <w:t>，如信息不缺或无基于项目的拜访留痕记录，系统提示“无法提交”。</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MANT+P+折扣目标（预估下单金额</w:t>
            </w:r>
            <w:r>
              <w:rPr>
                <w:rFonts w:eastAsia="等线" w:ascii="Arial" w:cs="Arial" w:hAnsi="Arial"/>
                <w:sz w:val="22"/>
              </w:rPr>
              <w:t>30万</w:t>
            </w:r>
            <w:r>
              <w:rPr>
                <w:rFonts w:eastAsia="等线" w:ascii="Arial" w:cs="Arial" w:hAnsi="Arial"/>
                <w:sz w:val="22"/>
              </w:rPr>
              <w:t>以上项目）</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MANT+P+折扣信息清楚、完整、符合SMART原则</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待审批商机/证明支持材料等</w:t>
            </w:r>
          </w:p>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MANT+P+折扣的标准符合《企业网事业部销售漏斗质量管理标准V9.0》</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销售填报商机务必按照要求进行填报，保证信息的完整性和准确性</w:t>
            </w:r>
            <w:r>
              <w:rPr>
                <w:rFonts w:eastAsia="等线" w:ascii="Arial" w:cs="Arial" w:hAnsi="Arial"/>
                <w:sz w:val="22"/>
              </w:rPr>
              <w:t>，且有基于项目的拜访留痕</w:t>
            </w:r>
            <w:r>
              <w:rPr>
                <w:rFonts w:eastAsia="等线" w:ascii="Arial" w:cs="Arial" w:hAnsi="Arial"/>
                <w:sz w:val="22"/>
              </w:rPr>
              <w:t>。</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完善了商机填报的内容及具体要求；加上了P（渠道）及30W以上商机下单折扣目标值</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（第001号）企业网事业部销售漏斗质量管理标准V9.0.pdf</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IT系统</w:t>
            </w:r>
          </w:p>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商机审批（KCP）</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销售经理</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sz w:val="22"/>
              </w:rPr>
              <w:t>销售经理</w:t>
            </w:r>
            <w:r>
              <w:rPr>
                <w:rFonts w:eastAsia="等线" w:ascii="Arial" w:cs="Arial" w:hAnsi="Arial"/>
                <w:sz w:val="22"/>
              </w:rPr>
              <w:t>登录进入销售易的待办事项页面，点击“漏斗审批”待处理的商机；</w:t>
            </w:r>
          </w:p>
          <w:p>
            <w:pPr>
              <w:spacing w:before="120" w:after="120" w:line="288" w:lineRule="auto"/>
              <w:ind w:left="0"/>
              <w:jc w:val="left"/>
            </w:pPr>
            <w:r>
              <w:rPr>
                <w:rFonts w:eastAsia="等线" w:ascii="Arial" w:cs="Arial" w:hAnsi="Arial"/>
                <w:sz w:val="22"/>
              </w:rPr>
              <w:t>2、</w:t>
            </w:r>
            <w:r>
              <w:rPr>
                <w:rFonts w:eastAsia="等线" w:ascii="Arial" w:cs="Arial" w:hAnsi="Arial"/>
                <w:sz w:val="22"/>
              </w:rPr>
              <w:t>销售经理</w:t>
            </w:r>
            <w:r>
              <w:rPr>
                <w:rFonts w:eastAsia="等线" w:ascii="Arial" w:cs="Arial" w:hAnsi="Arial"/>
                <w:sz w:val="22"/>
              </w:rPr>
              <w:t>进入到“漏斗审批”待处理的商机页面，在MO子页面核实商机MANT+P+目标折扣的信息和相关附件材料；（需IT支持）</w:t>
            </w:r>
          </w:p>
          <w:p>
            <w:pPr>
              <w:spacing w:before="120" w:after="120" w:line="288" w:lineRule="auto"/>
              <w:ind w:left="0"/>
              <w:jc w:val="left"/>
            </w:pPr>
            <w:r>
              <w:rPr>
                <w:rFonts w:eastAsia="等线" w:ascii="Arial" w:cs="Arial" w:hAnsi="Arial"/>
                <w:sz w:val="22"/>
              </w:rPr>
              <w:t>3、</w:t>
            </w:r>
            <w:r>
              <w:rPr>
                <w:rFonts w:eastAsia="等线" w:ascii="Arial" w:cs="Arial" w:hAnsi="Arial"/>
                <w:sz w:val="22"/>
              </w:rPr>
              <w:t>销售经理</w:t>
            </w:r>
            <w:r>
              <w:rPr>
                <w:rFonts w:eastAsia="等线" w:ascii="Arial" w:cs="Arial" w:hAnsi="Arial"/>
                <w:sz w:val="22"/>
              </w:rPr>
              <w:t>对于有疑问的商机，</w:t>
            </w:r>
            <w:r>
              <w:rPr>
                <w:rFonts w:eastAsia="等线" w:ascii="Arial" w:cs="Arial" w:hAnsi="Arial"/>
                <w:sz w:val="22"/>
              </w:rPr>
              <w:t>查看拜访留痕记录，如需进一步沟通，也可</w:t>
            </w:r>
            <w:r>
              <w:rPr>
                <w:rFonts w:eastAsia="等线" w:ascii="Arial" w:cs="Arial" w:hAnsi="Arial"/>
                <w:sz w:val="22"/>
              </w:rPr>
              <w:t>点击“邮件沟通”按钮与商机所有人进行邮件沟通；（需IT支持）</w:t>
            </w:r>
          </w:p>
          <w:p>
            <w:pPr>
              <w:spacing w:before="120" w:after="120" w:line="288" w:lineRule="auto"/>
              <w:ind w:left="0"/>
              <w:jc w:val="left"/>
            </w:pPr>
            <w:r>
              <w:rPr>
                <w:rFonts w:eastAsia="等线" w:ascii="Arial" w:cs="Arial" w:hAnsi="Arial"/>
                <w:color w:val="d83931"/>
                <w:sz w:val="22"/>
              </w:rPr>
              <w:t>4、</w:t>
            </w:r>
            <w:r>
              <w:rPr>
                <w:rFonts w:eastAsia="等线" w:ascii="Arial" w:cs="Arial" w:hAnsi="Arial"/>
                <w:color w:val="d83931"/>
                <w:sz w:val="22"/>
              </w:rPr>
              <w:t>销售经理</w:t>
            </w:r>
            <w:r>
              <w:rPr>
                <w:rFonts w:eastAsia="等线" w:ascii="Arial" w:cs="Arial" w:hAnsi="Arial"/>
                <w:color w:val="d83931"/>
                <w:sz w:val="22"/>
              </w:rPr>
              <w:t>核实MANT+P+目标折扣</w:t>
            </w:r>
            <w:r>
              <w:rPr>
                <w:rFonts w:eastAsia="等线" w:ascii="Arial" w:cs="Arial" w:hAnsi="Arial"/>
                <w:color w:val="d83931"/>
                <w:sz w:val="22"/>
              </w:rPr>
              <w:t>及核查相关附件信息（包括但不限于预算审批文件、关联共建&amp;优势渠道、关键人物拜访记录留痕、渠道拜访信息等）</w:t>
            </w:r>
            <w:r>
              <w:rPr>
                <w:rFonts w:eastAsia="等线" w:ascii="Arial" w:cs="Arial" w:hAnsi="Arial"/>
                <w:color w:val="d83931"/>
                <w:sz w:val="22"/>
              </w:rPr>
              <w:t>无误后，</w:t>
            </w:r>
            <w:r>
              <w:rPr>
                <w:rFonts w:eastAsia="等线" w:ascii="Arial" w:cs="Arial" w:hAnsi="Arial"/>
                <w:color w:val="d83931"/>
                <w:sz w:val="22"/>
              </w:rPr>
              <w:t>在审批意见栏填写审批意见（含验证动作），同时在</w:t>
            </w:r>
            <w:r>
              <w:rPr>
                <w:rFonts w:eastAsia="等线" w:ascii="Arial" w:cs="Arial" w:hAnsi="Arial"/>
                <w:color w:val="d83931"/>
                <w:sz w:val="22"/>
              </w:rPr>
              <w:t>“审批操作”栏选择“✔️”，弹出页面点击“确认”按钮，完成商机审批。</w:t>
            </w:r>
          </w:p>
          <w:p>
            <w:pPr>
              <w:spacing w:before="120" w:after="120" w:line="288" w:lineRule="auto"/>
              <w:ind w:left="0"/>
              <w:jc w:val="left"/>
            </w:pPr>
            <w:r>
              <w:rPr>
                <w:rFonts w:eastAsia="等线" w:ascii="Arial" w:cs="Arial" w:hAnsi="Arial"/>
                <w:sz w:val="22"/>
              </w:rPr>
              <w:t>5、</w:t>
            </w:r>
            <w:r>
              <w:rPr>
                <w:rFonts w:eastAsia="等线" w:ascii="Arial" w:cs="Arial" w:hAnsi="Arial"/>
                <w:sz w:val="22"/>
              </w:rPr>
              <w:t>销售经理</w:t>
            </w:r>
            <w:r>
              <w:rPr>
                <w:rFonts w:eastAsia="等线" w:ascii="Arial" w:cs="Arial" w:hAnsi="Arial"/>
                <w:sz w:val="22"/>
              </w:rPr>
              <w:t>核实MANT+P+目标折扣不通过的，</w:t>
            </w:r>
            <w:r>
              <w:rPr>
                <w:rFonts w:eastAsia="等线" w:ascii="Arial" w:cs="Arial" w:hAnsi="Arial"/>
                <w:sz w:val="22"/>
              </w:rPr>
              <w:t>在审批意见栏填写审批意见（含验证动作），</w:t>
            </w:r>
            <w:r>
              <w:rPr>
                <w:rFonts w:eastAsia="等线" w:ascii="Arial" w:cs="Arial" w:hAnsi="Arial"/>
                <w:sz w:val="22"/>
              </w:rPr>
              <w:t>“审批操作”栏选择“❎”，弹出页面点击“确认”按钮，驳回申请，完成商机审批。</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待审批商机/证明支持材料等</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MANT+P+折扣的标准符合《企业网事业部销售漏斗质量管理标准V9.0》</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通过审批后的商机记录</w:t>
            </w:r>
          </w:p>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商机MANT+P+折扣的信息完整且准确，提供可核查的相关附件信息（包括但不限于预算审批文件、关键人物拜访记录留痕、渠道拜访信息等），以上信息均在CRM上同步可见；</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区域经理应定期组织与商机填报人进行待进漏斗商机评审会；</w:t>
            </w:r>
          </w:p>
          <w:p>
            <w:pPr>
              <w:spacing w:before="120" w:after="120" w:line="288" w:lineRule="auto"/>
              <w:ind w:left="0"/>
              <w:jc w:val="left"/>
            </w:pP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增加了商机审核KCP加强商机数据验证；建立商机数据沟通机制，确保流程落实。</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（第001号）企业网事业部销售漏斗质量管理标准V9.0.pdf</w:t>
            </w:r>
          </w:p>
          <w:p>
            <w:pPr>
              <w:spacing w:before="120" w:after="120" w:line="288" w:lineRule="auto"/>
              <w:ind w:left="0"/>
              <w:jc w:val="left"/>
            </w:pPr>
            <w:hyperlink r:id="rId10">
              <w:r>
                <w:rPr>
                  <w:rFonts w:eastAsia="等线" w:ascii="Arial" w:cs="Arial" w:hAnsi="Arial"/>
                  <w:color w:val="3370ff"/>
                  <w:sz w:val="22"/>
                </w:rPr>
                <w:t>商机审批销售经理审批指导书</w:t>
              </w:r>
            </w:hyperlink>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商机评估分类</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销售代表&amp;销售经理</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1、销售经理完成商机审批；</w:t>
            </w:r>
          </w:p>
          <w:p>
            <w:pPr>
              <w:spacing w:before="120" w:after="120" w:line="288" w:lineRule="auto"/>
              <w:ind w:left="0"/>
              <w:jc w:val="left"/>
            </w:pPr>
            <w:r>
              <w:rPr>
                <w:rFonts w:eastAsia="等线" w:ascii="Arial" w:cs="Arial" w:hAnsi="Arial"/>
                <w:sz w:val="22"/>
              </w:rPr>
              <w:t>2、</w:t>
            </w:r>
            <w:r>
              <w:rPr>
                <w:rFonts w:eastAsia="等线" w:ascii="Arial" w:cs="Arial" w:hAnsi="Arial"/>
                <w:sz w:val="22"/>
              </w:rPr>
              <w:t>CRM</w:t>
            </w:r>
            <w:r>
              <w:rPr>
                <w:rFonts w:eastAsia="等线" w:ascii="Arial" w:cs="Arial" w:hAnsi="Arial"/>
                <w:sz w:val="22"/>
              </w:rPr>
              <w:t>系统通过商机信息自动判断商机分类</w:t>
            </w:r>
          </w:p>
          <w:p>
            <w:pPr>
              <w:spacing w:before="120" w:after="120" w:line="288" w:lineRule="auto"/>
              <w:ind w:left="0"/>
              <w:jc w:val="left"/>
            </w:pPr>
            <w:r>
              <w:rPr>
                <w:rFonts w:eastAsia="等线" w:ascii="Arial" w:cs="Arial" w:hAnsi="Arial"/>
                <w:sz w:val="22"/>
              </w:rPr>
              <w:t>3、销售</w:t>
            </w:r>
            <w:r>
              <w:rPr>
                <w:rFonts w:eastAsia="等线" w:ascii="Arial" w:cs="Arial" w:hAnsi="Arial"/>
                <w:sz w:val="22"/>
              </w:rPr>
              <w:t>代表</w:t>
            </w:r>
            <w:r>
              <w:rPr>
                <w:rFonts w:eastAsia="等线" w:ascii="Arial" w:cs="Arial" w:hAnsi="Arial"/>
                <w:sz w:val="22"/>
              </w:rPr>
              <w:t>登录CRM系统对分类进行检查校验。</w:t>
            </w:r>
          </w:p>
          <w:p>
            <w:pPr>
              <w:spacing w:before="120" w:after="120" w:line="288" w:lineRule="auto"/>
              <w:ind w:left="0"/>
              <w:jc w:val="left"/>
            </w:pPr>
            <w:r>
              <w:rPr>
                <w:rFonts w:eastAsia="等线" w:ascii="Arial" w:cs="Arial" w:hAnsi="Arial"/>
                <w:sz w:val="22"/>
              </w:rPr>
              <w:t>分类标准参加《商机分级表》</w:t>
            </w:r>
          </w:p>
          <w:p>
            <w:pPr>
              <w:spacing w:before="120" w:after="120" w:line="288" w:lineRule="auto"/>
              <w:ind w:left="0"/>
              <w:jc w:val="left"/>
            </w:pPr>
          </w:p>
          <w:p>
            <w:pPr>
              <w:spacing w:before="120" w:after="120" w:line="288" w:lineRule="auto"/>
              <w:ind w:left="0"/>
              <w:jc w:val="left"/>
            </w:pPr>
            <w:r>
              <w:rPr>
                <w:rFonts w:eastAsia="等线" w:ascii="Arial" w:cs="Arial" w:hAnsi="Arial"/>
                <w:sz w:val="22"/>
              </w:rPr>
              <w:t>（需IT支持）</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通过审批后的商机记录</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商机MANT+P+折扣的信息完整且准确，提供可核查的相关附件信息（包括但不限于预算审批文件、关键人物拜访记录留痕、渠道拜访信息等），以上信息均在CRM上同步可见；</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有明确分级分类的商机记录；</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符合《商机分级表》定义的商机记录</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商机分类无法通过规则自动判定并标注</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明确了商机分类标准和规则，系统可以自动对商机进行分类判断和标注</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rPr>
                <w:t>《商机分级表》</w:t>
              </w:r>
            </w:hyperlink>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w:t>
            </w:r>
            <w:r>
              <w:rPr>
                <w:rFonts w:eastAsia="等线" w:ascii="Arial" w:cs="Arial" w:hAnsi="Arial"/>
                <w:sz w:val="22"/>
              </w:rPr>
              <w:t>立项申请</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销售代表&amp;销售经理</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1、销售代表准备《商机立项评审表》；</w:t>
            </w:r>
          </w:p>
          <w:p>
            <w:pPr>
              <w:spacing w:before="120" w:after="120" w:line="288" w:lineRule="auto"/>
              <w:ind w:left="0"/>
              <w:jc w:val="left"/>
            </w:pPr>
            <w:r>
              <w:rPr>
                <w:rFonts w:eastAsia="等线" w:ascii="Arial" w:cs="Arial" w:hAnsi="Arial"/>
                <w:sz w:val="22"/>
              </w:rPr>
              <w:t>2、销售经理协调确定参与立项评审会议的人员和时间；</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有明确分级分类的商机记录；</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《商机立项评审表》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包含商机立项资料、商机立项评审决策会时间、参与人员</w:t>
            </w:r>
          </w:p>
        </w:tc>
        <w:tc>
          <w:tcPr>
            <w:tcW w:w="51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rPr>
                <w:t>商机立项评审表-模板.xls</w:t>
              </w:r>
            </w:hyperlink>
          </w:p>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商机立项评审决策（KCP/KDP）</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立项评审决策委员会&amp;销售代表&amp;销售经理&amp;销管BP</w:t>
            </w:r>
          </w:p>
          <w:p>
            <w:pPr>
              <w:spacing w:before="120" w:after="120" w:line="288" w:lineRule="auto"/>
              <w:ind w:left="0"/>
              <w:jc w:val="left"/>
            </w:pP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1、销售代表说明商机</w:t>
            </w:r>
            <w:r>
              <w:rPr>
                <w:rFonts w:eastAsia="等线" w:ascii="Arial" w:cs="Arial" w:hAnsi="Arial"/>
                <w:sz w:val="22"/>
              </w:rPr>
              <w:t>立项</w:t>
            </w:r>
            <w:r>
              <w:rPr>
                <w:rFonts w:eastAsia="等线" w:ascii="Arial" w:cs="Arial" w:hAnsi="Arial"/>
                <w:sz w:val="22"/>
              </w:rPr>
              <w:t>内容</w:t>
            </w:r>
            <w:r>
              <w:rPr>
                <w:rFonts w:eastAsia="等线" w:ascii="Arial" w:cs="Arial" w:hAnsi="Arial"/>
                <w:sz w:val="22"/>
              </w:rPr>
              <w:t>；</w:t>
            </w:r>
          </w:p>
          <w:p>
            <w:pPr>
              <w:spacing w:before="120" w:after="120" w:line="288" w:lineRule="auto"/>
              <w:ind w:left="0"/>
              <w:jc w:val="left"/>
            </w:pPr>
            <w:r>
              <w:rPr>
                <w:rFonts w:eastAsia="等线" w:ascii="Arial" w:cs="Arial" w:hAnsi="Arial"/>
                <w:sz w:val="22"/>
              </w:rPr>
              <w:t>2、销售经理对商机</w:t>
            </w:r>
            <w:r>
              <w:rPr>
                <w:rFonts w:eastAsia="等线" w:ascii="Arial" w:cs="Arial" w:hAnsi="Arial"/>
                <w:sz w:val="22"/>
              </w:rPr>
              <w:t>立项</w:t>
            </w:r>
            <w:r>
              <w:rPr>
                <w:rFonts w:eastAsia="等线" w:ascii="Arial" w:cs="Arial" w:hAnsi="Arial"/>
                <w:sz w:val="22"/>
              </w:rPr>
              <w:t>给出意见和反馈</w:t>
            </w:r>
            <w:r>
              <w:rPr>
                <w:rFonts w:eastAsia="等线" w:ascii="Arial" w:cs="Arial" w:hAnsi="Arial"/>
                <w:sz w:val="22"/>
              </w:rPr>
              <w:t>；</w:t>
            </w:r>
          </w:p>
          <w:p>
            <w:pPr>
              <w:spacing w:before="120" w:after="120" w:line="288" w:lineRule="auto"/>
              <w:ind w:left="0"/>
              <w:jc w:val="left"/>
            </w:pPr>
            <w:r>
              <w:rPr>
                <w:rFonts w:eastAsia="等线" w:ascii="Arial" w:cs="Arial" w:hAnsi="Arial"/>
                <w:sz w:val="22"/>
              </w:rPr>
              <w:t>3、立项评审决策委员会对《商机立项评审表》内容进行评审；</w:t>
            </w:r>
          </w:p>
          <w:p>
            <w:pPr>
              <w:spacing w:before="120" w:after="120" w:line="288" w:lineRule="auto"/>
              <w:ind w:left="0"/>
              <w:jc w:val="left"/>
            </w:pPr>
            <w:r>
              <w:rPr>
                <w:rFonts w:eastAsia="等线" w:ascii="Arial" w:cs="Arial" w:hAnsi="Arial"/>
                <w:sz w:val="22"/>
              </w:rPr>
              <w:t>4、立项评审决策委员会依据决策标准明确决策意见</w:t>
            </w:r>
            <w:r>
              <w:rPr>
                <w:rFonts w:eastAsia="等线" w:ascii="Arial" w:cs="Arial" w:hAnsi="Arial"/>
                <w:sz w:val="22"/>
              </w:rPr>
              <w:t>，包含是否立项；立项等级；项目经理，项目组成员和项目计划。</w:t>
            </w:r>
          </w:p>
          <w:p>
            <w:pPr>
              <w:spacing w:before="120" w:after="120" w:line="288" w:lineRule="auto"/>
              <w:ind w:left="0"/>
              <w:jc w:val="left"/>
            </w:pPr>
            <w:r>
              <w:rPr>
                <w:rFonts w:eastAsia="等线" w:ascii="Arial" w:cs="Arial" w:hAnsi="Arial"/>
                <w:sz w:val="22"/>
              </w:rPr>
              <w:t>5、评审通过项目，由项目经理按对应级别认领，进行项目监控管理；未评审通过项目进入一般项目管理；</w:t>
            </w:r>
          </w:p>
          <w:p>
            <w:pPr>
              <w:spacing w:before="120" w:after="120" w:line="288" w:lineRule="auto"/>
              <w:ind w:left="0"/>
              <w:jc w:val="left"/>
            </w:pPr>
            <w:r>
              <w:rPr>
                <w:rFonts w:eastAsia="等线" w:ascii="Arial" w:cs="Arial" w:hAnsi="Arial"/>
                <w:sz w:val="22"/>
              </w:rPr>
              <w:t>6、销管BP协助销售经理完成立项评审决策相关闭环活动，并根据</w:t>
            </w:r>
            <w:r>
              <w:rPr>
                <w:rFonts w:eastAsia="等线" w:ascii="Arial" w:cs="Arial" w:hAnsi="Arial"/>
                <w:sz w:val="22"/>
              </w:rPr>
              <w:t>立项评审决策委员会决策意见</w:t>
            </w:r>
            <w:r>
              <w:rPr>
                <w:rFonts w:eastAsia="等线" w:ascii="Arial" w:cs="Arial" w:hAnsi="Arial"/>
                <w:sz w:val="22"/>
              </w:rPr>
              <w:t>完成《商机立项评审表》的输出</w:t>
            </w:r>
          </w:p>
          <w:p>
            <w:pPr>
              <w:spacing w:before="120" w:after="120" w:line="288" w:lineRule="auto"/>
              <w:ind w:left="0"/>
              <w:jc w:val="left"/>
            </w:pP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《商机立项评审表》</w:t>
            </w:r>
          </w:p>
          <w:p>
            <w:pPr>
              <w:spacing w:before="120" w:after="120" w:line="288" w:lineRule="auto"/>
              <w:ind w:left="0"/>
              <w:jc w:val="left"/>
            </w:pP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包含商机立项资料、商机立项评审决策会时间、参与人员</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《商机立项评审表》</w:t>
            </w:r>
          </w:p>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增加完整评审决策意见，立项通过商机明确是否立项，立项等级，项目经理，项目组成员及分工，和可执行的项目跟进计划；</w:t>
            </w:r>
          </w:p>
          <w:p>
            <w:pPr>
              <w:spacing w:before="120" w:after="120" w:line="288" w:lineRule="auto"/>
              <w:ind w:left="0"/>
              <w:jc w:val="left"/>
            </w:pPr>
            <w:r>
              <w:rPr>
                <w:rFonts w:eastAsia="等线" w:ascii="Arial" w:cs="Arial" w:hAnsi="Arial"/>
                <w:sz w:val="22"/>
              </w:rPr>
              <w:t>CRM系统已经完成商机级别勾选。</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增加立项评审决策KCP与KDP，确保重点项目通过匹配优势资源进行统筹管理；明确决策机制，提高立项流程决策效率</w:t>
            </w:r>
          </w:p>
          <w:p>
            <w:pPr>
              <w:spacing w:before="120" w:after="120" w:line="288" w:lineRule="auto"/>
              <w:ind w:left="0"/>
              <w:jc w:val="left"/>
            </w:pPr>
            <w:r>
              <w:rPr>
                <w:rFonts w:eastAsia="等线" w:ascii="Arial" w:cs="Arial" w:hAnsi="Arial"/>
                <w:sz w:val="22"/>
              </w:rPr>
              <w:t>应立必立：未完成立项项目节点的建议立项项目，无法进入后续流程</w:t>
            </w:r>
          </w:p>
          <w:p>
            <w:pPr>
              <w:spacing w:before="120" w:after="120" w:line="288" w:lineRule="auto"/>
              <w:ind w:left="0"/>
              <w:jc w:val="left"/>
            </w:pPr>
            <w:r>
              <w:rPr>
                <w:rFonts w:eastAsia="等线" w:ascii="Arial" w:cs="Arial" w:hAnsi="Arial"/>
                <w:sz w:val="22"/>
              </w:rPr>
              <w:t>增加了项目经理角色对重点立项项目进行管理</w:t>
            </w:r>
          </w:p>
          <w:p>
            <w:pPr>
              <w:spacing w:before="120" w:after="120" w:line="288" w:lineRule="auto"/>
              <w:ind w:left="0"/>
              <w:jc w:val="left"/>
            </w:pPr>
            <w:r>
              <w:rPr>
                <w:rFonts w:eastAsia="等线" w:ascii="Arial" w:cs="Arial" w:hAnsi="Arial"/>
                <w:sz w:val="22"/>
              </w:rPr>
              <w:t>销管BP在该流程环节的职责明确定义</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参见《商机分级表》</w:t>
            </w:r>
          </w:p>
        </w:tc>
        <w:tc>
          <w:tcPr>
            <w:tcW w:w="510"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rPr>
                <w:t>商机立项评审表-模板.xls</w:t>
              </w:r>
            </w:hyperlink>
          </w:p>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组建项目团队</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p>
            <w:pPr>
              <w:spacing w:before="120" w:after="120" w:line="288" w:lineRule="auto"/>
              <w:ind w:left="0"/>
              <w:jc w:val="left"/>
            </w:pP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评审通过的项目，由项目经理组建项目运转群进行日常管理，群成员为《商机立项评审表》明确的项目成员。</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《商机立项评审表》</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增加完整评审决策意见，立项通过商机明确是否立项，立项等级，项目经理，项目组成员及分工，和可执行的项目跟进计划；</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项目运转群</w:t>
            </w:r>
          </w:p>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商机检查</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销管BP</w:t>
            </w:r>
          </w:p>
          <w:p>
            <w:pPr>
              <w:spacing w:before="120" w:after="120" w:line="288" w:lineRule="auto"/>
              <w:ind w:left="0"/>
              <w:jc w:val="left"/>
            </w:pP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1、销管BP登录CRM系统-可视化报表-漏斗实时看板（需IT支持），通过设定筛选条件可选（1）预计下单时间（2）是否进入漏斗（3）业务机会未跟进天数（4）客户未跟进天数，输出筛选结果。</w:t>
            </w:r>
          </w:p>
          <w:p>
            <w:pPr>
              <w:spacing w:before="120" w:after="120" w:line="288" w:lineRule="auto"/>
              <w:ind w:left="0"/>
              <w:jc w:val="left"/>
            </w:pPr>
            <w:r>
              <w:rPr>
                <w:rFonts w:eastAsia="等线" w:ascii="Arial" w:cs="Arial" w:hAnsi="Arial"/>
                <w:sz w:val="22"/>
              </w:rPr>
              <w:t>2、销管BP结合需求筛选报表并导出异常项目清单。</w:t>
            </w:r>
          </w:p>
          <w:p>
            <w:pPr>
              <w:spacing w:before="120" w:after="120" w:line="288" w:lineRule="auto"/>
              <w:ind w:left="0"/>
              <w:jc w:val="left"/>
            </w:pPr>
          </w:p>
          <w:p>
            <w:pPr>
              <w:spacing w:before="120" w:after="120" w:line="288" w:lineRule="auto"/>
              <w:ind w:left="0"/>
              <w:jc w:val="left"/>
            </w:pPr>
            <w:r>
              <w:rPr>
                <w:rFonts w:eastAsia="等线" w:ascii="Arial" w:cs="Arial" w:hAnsi="Arial"/>
                <w:sz w:val="22"/>
              </w:rPr>
              <w:t>相关异常标准见《商机异常标准说明书》</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通过审批后的商机记录</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商机MANT+P+折扣的信息完整且准确，提供可核查的相关附件信息（包括但不限于预算审批文件、关键人物拜访记录留痕、渠道拜访信息等），以上信息均在CRM上同步可见；</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异常商机记录</w:t>
            </w:r>
          </w:p>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输出异常项目清单，异常标准需符合《商机异常标准说明书》定义</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销管BP按照业务要求，定期/不定期对漏斗内商机进行核查，出现异常有权利发起商机改善流程。</w:t>
            </w:r>
          </w:p>
        </w:tc>
        <w:tc>
          <w:tcPr>
            <w:tcW w:w="76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《商机异常标准说明书》</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商机改善</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销售代表</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1、销售代表根据异常商机记录，登录CRM系统，点击进入异常项目，调整异常信息；</w:t>
            </w:r>
          </w:p>
          <w:p>
            <w:pPr>
              <w:spacing w:before="120" w:after="120" w:line="288" w:lineRule="auto"/>
              <w:ind w:left="0"/>
              <w:jc w:val="left"/>
            </w:pPr>
            <w:r>
              <w:rPr>
                <w:rFonts w:eastAsia="等线" w:ascii="Arial" w:cs="Arial" w:hAnsi="Arial"/>
                <w:sz w:val="22"/>
              </w:rPr>
              <w:t>2、销售代表确认异常信息改善无误后，保存信息，完成商机改善；</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异常商机记录</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异常项目清单，异常标准需符合《商机异常标准说明书》定义</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改善完毕的商机</w:t>
            </w:r>
          </w:p>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商机MANT+P+折扣的信息完整且准确</w:t>
            </w:r>
          </w:p>
        </w:tc>
        <w:tc>
          <w:tcPr>
            <w:tcW w:w="51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（第001号）企业网事业部销售漏斗质量管理标准V9.0.pdf</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IT系统</w:t>
            </w:r>
          </w:p>
        </w:tc>
      </w:tr>
    </w:tbl>
    <w:p>
      <w:pPr>
        <w:spacing w:before="120" w:after="120" w:line="288" w:lineRule="auto"/>
        <w:ind w:left="0"/>
        <w:jc w:val="left"/>
      </w:pPr>
      <w:r>
        <w:rPr>
          <w:rFonts w:eastAsia="等线" w:ascii="Arial" w:cs="Arial" w:hAnsi="Arial"/>
          <w:b w:val="true"/>
          <w:color w:val="d83931"/>
          <w:sz w:val="22"/>
        </w:rPr>
        <w:t xml:space="preserve"> </w:t>
      </w:r>
    </w:p>
    <w:p>
      <w:pPr>
        <w:pStyle w:val="3"/>
        <w:spacing w:before="300" w:after="120" w:line="288" w:lineRule="auto"/>
        <w:ind w:left="0"/>
        <w:jc w:val="left"/>
        <w:outlineLvl w:val="2"/>
      </w:pPr>
      <w:bookmarkStart w:name="heading_15" w:id="15"/>
      <w:r>
        <w:rPr>
          <w:rFonts w:eastAsia="等线" w:ascii="Arial" w:cs="Arial" w:hAnsi="Arial"/>
          <w:b w:val="true"/>
          <w:sz w:val="30"/>
        </w:rPr>
        <w:t>5.3.6 主要角色活动说明</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5.3.6.1 销售代表活动说明：</w:t>
      </w:r>
      <w:bookmarkEnd w:id="1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5" o:title=""/>
          </v:shape>
          <o:OLEObject DrawAspect="Icon" ObjectID="_1718471219" ProgID="Excel.Sheet.12" ShapeID="_x0000_i1025" Type="Embed" r:id="rId1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7" w:id="17"/>
      <w:r>
        <w:rPr>
          <w:rFonts w:eastAsia="等线" w:ascii="Arial" w:cs="Arial" w:hAnsi="Arial"/>
          <w:b w:val="true"/>
          <w:sz w:val="28"/>
        </w:rPr>
        <w:t>5.3.6.2 销售经理岗位活动说明：</w:t>
      </w:r>
      <w:bookmarkEnd w:id="17"/>
    </w:p>
    <w:p>
      <w:pPr>
        <w:spacing w:before="120" w:after="120" w:line="288" w:lineRule="auto"/>
        <w:ind w:left="0"/>
      </w:pPr>
      <w:r>
        <w:object>
          <v:shape id="_x0000_i1026" style="width:414pt;height:197pt;mso-width-percent:0;mso-height-percent:0;mso-width-percent:0;mso-height-percent:0" type="#_x0000_t75" o:ole="">
            <v:imagedata r:id="rId17" o:title=""/>
          </v:shape>
          <o:OLEObject DrawAspect="Icon" ObjectID="_1718471220" ProgID="Excel.Sheet.12" ShapeID="_x0000_i1026" Type="Embed" r:id="rId1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8" w:id="18"/>
      <w:r>
        <w:rPr>
          <w:rFonts w:eastAsia="等线" w:ascii="Arial" w:cs="Arial" w:hAnsi="Arial"/>
          <w:b w:val="true"/>
          <w:sz w:val="28"/>
        </w:rPr>
        <w:t>5.3.6.3 销管BP岗位活动说明</w:t>
      </w:r>
      <w:bookmarkEnd w:id="18"/>
    </w:p>
    <w:p>
      <w:pPr>
        <w:spacing w:before="120" w:after="120" w:line="288" w:lineRule="auto"/>
        <w:ind w:left="0"/>
      </w:pPr>
      <w:r>
        <w:object>
          <v:shape id="_x0000_i1027" style="width:414pt;height:197pt;mso-width-percent:0;mso-height-percent:0;mso-width-percent:0;mso-height-percent:0" type="#_x0000_t75" o:ole="">
            <v:imagedata r:id="rId19" o:title=""/>
          </v:shape>
          <o:OLEObject DrawAspect="Icon" ObjectID="_1718471221" ProgID="Excel.Sheet.12" ShapeID="_x0000_i1027" Type="Embed" r:id="rId1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5.3 </w:t>
      </w:r>
      <w:r>
        <w:rPr>
          <w:rFonts w:eastAsia="等线" w:ascii="Arial" w:cs="Arial" w:hAnsi="Arial"/>
          <w:b w:val="true"/>
          <w:sz w:val="32"/>
        </w:rPr>
        <w:t>KCP、KDP说明及指导书</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55"/>
        <w:gridCol w:w="855"/>
        <w:gridCol w:w="2235"/>
        <w:gridCol w:w="1545"/>
        <w:gridCol w:w="1665"/>
        <w:gridCol w:w="1125"/>
      </w:tblGrid>
      <w:tr>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KCP/KDP说明</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KCP/KDP负责人</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M1.1.1 分析并验证商机</w:t>
            </w:r>
          </w:p>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商机审批</w:t>
            </w:r>
          </w:p>
          <w:p>
            <w:pPr>
              <w:spacing w:before="120" w:after="120" w:line="288" w:lineRule="auto"/>
              <w:ind w:left="0"/>
              <w:jc w:val="left"/>
            </w:pPr>
            <w:r>
              <w:rPr>
                <w:rFonts w:eastAsia="等线" w:ascii="Arial" w:cs="Arial" w:hAnsi="Arial"/>
                <w:sz w:val="22"/>
              </w:rPr>
              <w:t>（KCP）</w:t>
            </w:r>
          </w:p>
          <w:p>
            <w:pPr>
              <w:spacing w:before="120" w:after="120" w:line="288" w:lineRule="auto"/>
              <w:ind w:left="0"/>
              <w:jc w:val="left"/>
            </w:pP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为了保证商机记录的真实性和准确性，通过商机审批KCP进行质量控制，关键控制要素：</w:t>
            </w:r>
          </w:p>
          <w:p>
            <w:pPr>
              <w:spacing w:before="120" w:after="120" w:line="288" w:lineRule="auto"/>
              <w:ind w:left="0"/>
              <w:jc w:val="left"/>
            </w:pPr>
            <w:r>
              <w:rPr>
                <w:rFonts w:eastAsia="等线" w:ascii="Arial" w:cs="Arial" w:hAnsi="Arial"/>
                <w:sz w:val="22"/>
              </w:rPr>
              <w:t>1）真实性：MANT清晰可验证</w:t>
            </w:r>
          </w:p>
          <w:p>
            <w:pPr>
              <w:spacing w:before="120" w:after="120" w:line="288" w:lineRule="auto"/>
              <w:ind w:left="0"/>
              <w:jc w:val="left"/>
            </w:pPr>
            <w:r>
              <w:rPr>
                <w:rFonts w:eastAsia="等线" w:ascii="Arial" w:cs="Arial" w:hAnsi="Arial"/>
                <w:sz w:val="22"/>
              </w:rPr>
              <w:t>2）合作伙伴：P真实，与我司联合共建</w:t>
            </w:r>
          </w:p>
          <w:p>
            <w:pPr>
              <w:spacing w:before="120" w:after="120" w:line="288" w:lineRule="auto"/>
              <w:ind w:left="0"/>
              <w:jc w:val="left"/>
            </w:pPr>
            <w:r>
              <w:rPr>
                <w:rFonts w:eastAsia="等线" w:ascii="Arial" w:cs="Arial" w:hAnsi="Arial"/>
                <w:sz w:val="22"/>
              </w:rPr>
              <w:t>3）目标性：有明确的折扣目标</w:t>
            </w:r>
          </w:p>
          <w:p>
            <w:pPr>
              <w:spacing w:before="120" w:after="120" w:line="288" w:lineRule="auto"/>
              <w:ind w:left="0"/>
              <w:jc w:val="left"/>
            </w:pPr>
            <w:r>
              <w:rPr>
                <w:rFonts w:eastAsia="等线" w:ascii="Arial" w:cs="Arial" w:hAnsi="Arial"/>
                <w:sz w:val="22"/>
              </w:rPr>
              <w:t>4）及时性：审批及时，过程变化更新及时</w:t>
            </w:r>
          </w:p>
          <w:p>
            <w:pPr>
              <w:spacing w:before="120" w:after="120" w:line="288" w:lineRule="auto"/>
              <w:ind w:left="0"/>
              <w:jc w:val="left"/>
            </w:pPr>
            <w:r>
              <w:rPr>
                <w:rFonts w:eastAsia="等线" w:ascii="Arial" w:cs="Arial" w:hAnsi="Arial"/>
                <w:sz w:val="22"/>
              </w:rPr>
              <w:t>5）主动性：对于存疑商机或者重点商机进行主动验证（包括：邮件，通话记录，微信聊天记录等）</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销售经理</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参见活动说明《企业网事业部销售漏斗质量管理标准V9.0》指导书</w:t>
            </w:r>
          </w:p>
          <w:p>
            <w:pPr>
              <w:spacing w:before="120" w:after="120" w:line="288" w:lineRule="auto"/>
              <w:ind w:left="0"/>
              <w:jc w:val="left"/>
            </w:pPr>
            <w:r>
              <w:rPr>
                <w:rFonts w:eastAsia="等线" w:ascii="Arial" w:cs="Arial" w:hAnsi="Arial"/>
                <w:sz w:val="22"/>
              </w:rPr>
              <w:t>（第001号）企业网事业部销售漏斗质量管理标准V9.0.pdf</w:t>
            </w:r>
          </w:p>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M11.1.2 商机分类&amp;立项</w:t>
            </w:r>
          </w:p>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商机立项评审决策</w:t>
            </w:r>
          </w:p>
          <w:p>
            <w:pPr>
              <w:spacing w:before="120" w:after="120" w:line="288" w:lineRule="auto"/>
              <w:ind w:left="0"/>
              <w:jc w:val="left"/>
            </w:pPr>
            <w:r>
              <w:rPr>
                <w:rFonts w:eastAsia="等线" w:ascii="Arial" w:cs="Arial" w:hAnsi="Arial"/>
                <w:sz w:val="22"/>
              </w:rPr>
              <w:t>（KCP/KDP）</w:t>
            </w:r>
          </w:p>
          <w:p>
            <w:pPr>
              <w:spacing w:before="120" w:after="120" w:line="288" w:lineRule="auto"/>
              <w:ind w:left="0"/>
              <w:jc w:val="left"/>
            </w:pP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明确立项标准和流程实现重点商机能够通过项目组管理，</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销售经理</w:t>
            </w:r>
          </w:p>
        </w:tc>
        <w:tc>
          <w:tcPr>
            <w:tcW w:w="166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bl>
    <w:p>
      <w:pPr>
        <w:pStyle w:val="1"/>
        <w:spacing w:before="380" w:after="140" w:line="288" w:lineRule="auto"/>
        <w:ind w:left="0"/>
        <w:jc w:val="left"/>
        <w:outlineLvl w:val="0"/>
      </w:pPr>
      <w:bookmarkStart w:name="heading_20" w:id="20"/>
      <w:r>
        <w:rPr>
          <w:rFonts w:eastAsia="等线" w:ascii="Arial" w:cs="Arial" w:hAnsi="Arial"/>
          <w:b w:val="true"/>
          <w:sz w:val="36"/>
        </w:rPr>
        <w:t>6、解释权限及生效日期</w:t>
      </w:r>
      <w:bookmarkEnd w:id="20"/>
    </w:p>
    <w:p>
      <w:pPr>
        <w:spacing w:before="120" w:after="120" w:line="288" w:lineRule="auto"/>
        <w:ind w:left="0"/>
        <w:jc w:val="left"/>
      </w:pPr>
      <w:r>
        <w:rPr>
          <w:rFonts w:eastAsia="等线" w:ascii="Arial" w:cs="Arial" w:hAnsi="Arial"/>
          <w:sz w:val="22"/>
        </w:rPr>
        <w:t>本文档的解释权归属流程管理部。</w:t>
      </w:r>
    </w:p>
    <w:p>
      <w:pPr>
        <w:spacing w:before="120" w:after="120" w:line="288" w:lineRule="auto"/>
        <w:ind w:left="0"/>
        <w:jc w:val="left"/>
      </w:pPr>
      <w:r>
        <w:rPr>
          <w:rFonts w:eastAsia="等线" w:ascii="Arial" w:cs="Arial" w:hAnsi="Arial"/>
          <w:sz w:val="22"/>
        </w:rPr>
        <w:t>本文档自发布之日起至V1.0版本发布前生效。</w:t>
      </w:r>
    </w:p>
    <w:p>
      <w:pPr>
        <w:pStyle w:val="1"/>
        <w:spacing w:before="380" w:after="140" w:line="288" w:lineRule="auto"/>
        <w:ind w:left="0"/>
        <w:jc w:val="left"/>
        <w:outlineLvl w:val="0"/>
      </w:pPr>
      <w:bookmarkStart w:name="heading_21" w:id="21"/>
      <w:bookmarkEnd w:id="21"/>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6632">
    <w:lvl>
      <w:start w:val="1"/>
      <w:numFmt w:val="decimal"/>
      <w:suff w:val="tab"/>
      <w:lvlText w:val="%1."/>
      <w:rPr>
        <w:color w:val="3370ff"/>
      </w:rPr>
    </w:lvl>
  </w:abstractNum>
  <w:abstractNum w:abstractNumId="26633">
    <w:lvl>
      <w:start w:val="2"/>
      <w:numFmt w:val="decimal"/>
      <w:suff w:val="tab"/>
      <w:lvlText w:val="%1."/>
      <w:rPr>
        <w:color w:val="3370ff"/>
      </w:rPr>
    </w:lvl>
  </w:abstractNum>
  <w:abstractNum w:abstractNumId="26634">
    <w:lvl>
      <w:start w:val="3"/>
      <w:numFmt w:val="decimal"/>
      <w:suff w:val="tab"/>
      <w:lvlText w:val="%1."/>
      <w:rPr>
        <w:color w:val="3370ff"/>
      </w:rPr>
    </w:lvl>
  </w:abstractNum>
  <w:num w:numId="1">
    <w:abstractNumId w:val="26632"/>
  </w:num>
  <w:num w:numId="2">
    <w:abstractNumId w:val="26633"/>
  </w:num>
  <w:num w:numId="3">
    <w:abstractNumId w:val="266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wiki/NqbqwswI4ivIyHkj3UDctMxdnAf" TargetMode="External" Type="http://schemas.openxmlformats.org/officeDocument/2006/relationships/hyperlink"/><Relationship Id="rId11" Target="https://ruijie.feishu.cn/wiki/F78Bwr1PuisHvdkpbMwcO776nwe" TargetMode="External" Type="http://schemas.openxmlformats.org/officeDocument/2006/relationships/hyperlink"/><Relationship Id="rId12" Target="https://ruijie.feishu.cn/wiki/Gbduw6XvHilzoekviyKc9YQRnif?from=from_copylink" TargetMode="External" Type="http://schemas.openxmlformats.org/officeDocument/2006/relationships/hyperlink"/><Relationship Id="rId13" Target="https://ruijie.feishu.cn/wiki/Gbduw6XvHilzoekviyKc9YQRnif?from=from_copylink" TargetMode="External" Type="http://schemas.openxmlformats.org/officeDocument/2006/relationships/hyperlink"/><Relationship Id="rId14" Target="embeddings/Microsoft_Excel_Worksheet1.xlsx" Type="http://schemas.openxmlformats.org/officeDocument/2006/relationships/package"/><Relationship Id="rId15" Target="media/image5.png" Type="http://schemas.openxmlformats.org/officeDocument/2006/relationships/image"/><Relationship Id="rId16" Target="embeddings/Microsoft_Excel_Worksheet2.xlsx" Type="http://schemas.openxmlformats.org/officeDocument/2006/relationships/package"/><Relationship Id="rId17" Target="media/image6.png" Type="http://schemas.openxmlformats.org/officeDocument/2006/relationships/image"/><Relationship Id="rId18" Target="embeddings/Microsoft_Excel_Worksheet3.xlsx" Type="http://schemas.openxmlformats.org/officeDocument/2006/relationships/package"/><Relationship Id="rId19" Target="media/image7.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https://ruijie.feishu.cn/wiki/O2YLwSPKAiSZqukeClZcfLljnvg" TargetMode="External" Type="http://schemas.openxmlformats.org/officeDocument/2006/relationships/hyperlink"/><Relationship Id="rId6" Target="media/image1.jpeg" Type="http://schemas.openxmlformats.org/officeDocument/2006/relationships/image"/><Relationship Id="rId7" Target="media/image2.jpeg" Type="http://schemas.openxmlformats.org/officeDocument/2006/relationships/image"/><Relationship Id="rId8" Target="media/image3.jpeg" Type="http://schemas.openxmlformats.org/officeDocument/2006/relationships/image"/><Relationship Id="rId9" Target="media/image4.jpeg" Type="http://schemas.openxmlformats.org/officeDocument/2006/relationships/image"/></Relationships>
</file>

<file path=word/_rels/header1.xml.rels><?xml version="1.0" encoding="UTF-8" standalone="yes"?><Relationships xmlns="http://schemas.openxmlformats.org/package/2006/relationships"><Relationship Id="rId1"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2025-05-13T08:44:18Z</dcterms:created>
  <dc:creator>Apache POI</dc:creator>
</cp:coreProperties>
</file>