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o="urn:schemas-microsoft-com:office:office">
  <w:body>
    <w:p>
      <w:pPr>
        <w:spacing w:before="480" w:after="480" w:line="288" w:lineRule="auto"/>
        <w:ind w:left="0"/>
      </w:pPr>
      <w:r>
        <w:rPr>
          <w:rFonts w:eastAsia="等线" w:ascii="Arial" w:cs="Arial" w:hAnsi="Arial"/>
          <w:b w:val="true"/>
          <w:sz w:val="52"/>
        </w:rPr>
        <w:t>M11.2 推进商机流程</w:t>
      </w:r>
      <w:r>
        <w:rPr>
          <w:rFonts w:eastAsia="等线" w:ascii="Arial" w:cs="Arial" w:hAnsi="Arial"/>
          <w:b w:val="true"/>
          <w:sz w:val="52"/>
        </w:rPr>
        <w:t>说明</w:t>
      </w:r>
      <w:r>
        <w:rPr>
          <w:rFonts w:eastAsia="等线" w:ascii="Arial" w:cs="Arial" w:hAnsi="Arial"/>
          <w:b w:val="true"/>
          <w:sz w:val="52"/>
        </w:rPr>
        <w:t>文件</w:t>
      </w:r>
      <w:r>
        <w:rPr>
          <w:rFonts w:eastAsia="等线" w:ascii="Arial" w:cs="Arial" w:hAnsi="Arial"/>
          <w:b w:val="true"/>
          <w:sz w:val="52"/>
        </w:rPr>
        <w:t>-V0.9</w:t>
      </w:r>
    </w:p>
    <w:p>
      <w:pPr>
        <w:spacing w:before="120" w:after="120" w:line="288" w:lineRule="auto"/>
        <w:ind w:left="0"/>
        <w:jc w:val="right"/>
      </w:pPr>
      <w:r>
        <w:rPr>
          <w:rFonts w:eastAsia="等线" w:ascii="Arial" w:cs="Arial" w:hAnsi="Arial"/>
          <w:sz w:val="22"/>
        </w:rPr>
        <w:t xml:space="preserve">密级：B </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p>
      <w:pPr>
        <w:pStyle w:val="1"/>
        <w:spacing w:before="380" w:after="140" w:line="288" w:lineRule="auto"/>
        <w:ind w:left="0"/>
        <w:jc w:val="center"/>
        <w:outlineLvl w:val="0"/>
      </w:pPr>
      <w:bookmarkStart w:name="heading_0" w:id="0"/>
      <w:r>
        <w:rPr>
          <w:rFonts w:eastAsia="等线" w:ascii="Arial" w:cs="Arial" w:hAnsi="Arial"/>
          <w:b w:val="true"/>
          <w:sz w:val="36"/>
        </w:rPr>
        <w:t xml:space="preserve">推进商机流程 </w:t>
      </w:r>
      <w:bookmarkEnd w:id="0"/>
    </w:p>
    <w:p>
      <w:pPr>
        <w:spacing w:before="120" w:after="120" w:line="288" w:lineRule="auto"/>
        <w:ind w:left="0"/>
        <w:jc w:val="left"/>
      </w:pPr>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500"/>
        <w:gridCol w:w="1500"/>
        <w:gridCol w:w="1500"/>
        <w:gridCol w:w="1410"/>
        <w:gridCol w:w="1410"/>
        <w:gridCol w:w="930"/>
      </w:tblGrid>
      <w:tr>
        <w:tc>
          <w:tcPr>
            <w:tcW w:w="59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文件名称：推进商机流程说明文件</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版本：V0.9</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密级：B</w:t>
            </w:r>
          </w:p>
        </w:tc>
      </w:tr>
      <w:tr>
        <w:tc>
          <w:tcPr>
            <w:tcW w:w="591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文件编号：MTCV-MO-M11.2-P-推进商机-V0.9</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234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生效日期：2025/3/18</w:t>
            </w: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流程L2 PO：曹曦</w:t>
            </w:r>
          </w:p>
        </w:tc>
        <w:tc>
          <w:tcPr>
            <w:tcW w:w="300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流程L3 PO：张宏涛</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3750"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流程组团队成员：</w:t>
            </w:r>
            <w:r>
              <w:rPr>
                <w:rFonts w:eastAsia="等线" w:ascii="Arial" w:cs="Arial" w:hAnsi="Arial"/>
                <w:sz w:val="22"/>
              </w:rPr>
              <w:t>郑超、卢浩、温华俊、冯亮、李冰、胡乐颜</w:t>
            </w: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8250" w:type="dxa"/>
            <w:hMerge w:val="restart"/>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更 改   记 录</w:t>
            </w: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50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1410" w:type="dxa"/>
            <w:hMerge w:val="continue"/>
            <w:tcMar>
              <w:top w:type="dxa" w:w="60"/>
              <w:left w:type="dxa" w:w="120"/>
              <w:bottom w:type="dxa" w:w="30"/>
              <w:right w:type="dxa" w:w="120"/>
            </w:tcMar>
          </w:tcPr>
          <w:p>
            <w:pPr>
              <w:spacing w:before="120" w:after="120" w:line="288" w:lineRule="auto"/>
              <w:ind w:left="0"/>
              <w:jc w:val="left"/>
            </w:pPr>
          </w:p>
        </w:tc>
        <w:tc>
          <w:tcPr>
            <w:tcW w:w="930" w:type="dxa"/>
            <w:hMerge w:val="continue"/>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版本号</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更改人</w:t>
            </w:r>
          </w:p>
        </w:tc>
        <w:tc>
          <w:tcPr>
            <w:tcW w:w="150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审核人</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批准人</w:t>
            </w: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生效日期</w:t>
            </w: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更改内容</w:t>
            </w: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V0.9</w:t>
            </w:r>
          </w:p>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流程PO：张宏涛</w:t>
            </w:r>
          </w:p>
          <w:p>
            <w:pPr>
              <w:spacing w:before="120" w:after="120" w:line="288" w:lineRule="auto"/>
              <w:ind w:left="0"/>
              <w:jc w:val="left"/>
            </w:pPr>
            <w:r>
              <w:rPr>
                <w:rFonts w:eastAsia="等线" w:ascii="Arial" w:cs="Arial" w:hAnsi="Arial"/>
                <w:sz w:val="22"/>
              </w:rPr>
              <w:t>流程PC：赵波</w:t>
            </w:r>
          </w:p>
        </w:tc>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曹曦</w:t>
            </w:r>
          </w:p>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EBG流程执委会</w:t>
            </w:r>
          </w:p>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2025-3-18</w:t>
            </w:r>
          </w:p>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首次发布</w:t>
            </w:r>
          </w:p>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V1.0</w:t>
            </w: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r>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50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p>
        </w:tc>
        <w:tc>
          <w:tcPr>
            <w:tcW w:w="930" w:type="dxa"/>
            <w:tcMar>
              <w:top w:type="dxa" w:w="60"/>
              <w:left w:type="dxa" w:w="120"/>
              <w:bottom w:type="dxa" w:w="30"/>
              <w:right w:type="dxa" w:w="120"/>
            </w:tcMar>
          </w:tcPr>
          <w:p>
            <w:pPr>
              <w:spacing w:before="120" w:after="120" w:line="288" w:lineRule="auto"/>
              <w:ind w:left="0"/>
              <w:jc w:val="left"/>
            </w:pPr>
          </w:p>
        </w:tc>
      </w:tr>
    </w:tbl>
    <w:p>
      <w:pPr>
        <w:pStyle w:val="1"/>
        <w:spacing w:before="380" w:after="140" w:line="288" w:lineRule="auto"/>
        <w:ind w:left="0"/>
        <w:jc w:val="left"/>
        <w:outlineLvl w:val="0"/>
      </w:pPr>
      <w:bookmarkStart w:name="heading_1" w:id="1"/>
      <w:r>
        <w:rPr>
          <w:rFonts w:eastAsia="等线" w:ascii="Arial" w:cs="Arial" w:hAnsi="Arial"/>
          <w:color w:val="3370ff"/>
          <w:sz w:val="36"/>
        </w:rPr>
        <w:t xml:space="preserve">1. </w:t>
      </w:r>
      <w:r>
        <w:rPr>
          <w:rFonts w:eastAsia="等线" w:ascii="Arial" w:cs="Arial" w:hAnsi="Arial"/>
          <w:b w:val="true"/>
          <w:sz w:val="36"/>
        </w:rPr>
        <w:t>目的</w:t>
      </w:r>
      <w:bookmarkEnd w:id="1"/>
    </w:p>
    <w:p>
      <w:pPr>
        <w:spacing w:before="120" w:after="120" w:line="288" w:lineRule="auto"/>
        <w:ind w:left="0" w:firstLine="420"/>
        <w:jc w:val="left"/>
      </w:pPr>
      <w:r>
        <w:rPr>
          <w:rFonts w:eastAsia="等线" w:ascii="Arial" w:cs="Arial" w:hAnsi="Arial"/>
          <w:sz w:val="22"/>
        </w:rPr>
        <w:t>推进商机流程是一个系统性的过程，旨在通过一系列精心设计的环节来确保</w:t>
      </w:r>
      <w:r>
        <w:rPr>
          <w:rFonts w:eastAsia="等线" w:ascii="Arial" w:cs="Arial" w:hAnsi="Arial"/>
          <w:sz w:val="22"/>
        </w:rPr>
        <w:t>商机</w:t>
      </w:r>
      <w:r>
        <w:rPr>
          <w:rFonts w:eastAsia="等线" w:ascii="Arial" w:cs="Arial" w:hAnsi="Arial"/>
          <w:sz w:val="22"/>
        </w:rPr>
        <w:t>的顺利转化。在</w:t>
      </w:r>
      <w:r>
        <w:rPr>
          <w:rFonts w:eastAsia="等线" w:ascii="Arial" w:cs="Arial" w:hAnsi="Arial"/>
          <w:sz w:val="22"/>
        </w:rPr>
        <w:t>本流程</w:t>
      </w:r>
      <w:r>
        <w:rPr>
          <w:rFonts w:eastAsia="等线" w:ascii="Arial" w:cs="Arial" w:hAnsi="Arial"/>
          <w:sz w:val="22"/>
        </w:rPr>
        <w:t>实践中，这一流程主要包括以下几个重点环节：</w:t>
      </w:r>
    </w:p>
    <w:p>
      <w:pPr>
        <w:numPr>
          <w:numId w:val="1"/>
        </w:numPr>
        <w:spacing w:before="120" w:after="120" w:line="288" w:lineRule="auto"/>
        <w:ind w:left="0"/>
        <w:jc w:val="left"/>
      </w:pPr>
      <w:r>
        <w:rPr>
          <w:rFonts w:eastAsia="等线" w:ascii="Arial" w:cs="Arial" w:hAnsi="Arial"/>
          <w:sz w:val="22"/>
        </w:rPr>
        <w:t>制定价值主张及赢单策略：这是推进商机流程的起点，其核心在于深入理解客户需求，明确我们如何能够满足这些需求，并突出我们相对于竞争对手的独特价值。在这一阶段，销售团队会与客户进行深入沟通，了解他们的业务目标、痛点以及期望的解决方案。基于这些信息，我们会制定一个具有吸引力的价值主张，并规划出具体的赢单策略。</w:t>
      </w:r>
    </w:p>
    <w:p>
      <w:pPr>
        <w:numPr>
          <w:numId w:val="2"/>
        </w:numPr>
        <w:spacing w:before="120" w:after="120" w:line="288" w:lineRule="auto"/>
        <w:ind w:left="0"/>
        <w:jc w:val="left"/>
      </w:pPr>
      <w:r>
        <w:rPr>
          <w:rFonts w:eastAsia="等线" w:ascii="Arial" w:cs="Arial" w:hAnsi="Arial"/>
          <w:sz w:val="22"/>
        </w:rPr>
        <w:t>制定客户解决方案：一旦价值主张得到确认，接下来就是根据客户需求定制具体的解决方案。这个环节涉及到与技术团队及其他部门的紧密合作，以确保解决方案的技术可行性，创新性和可交付性。同时，我们还会考虑解决方案的成本效益，以确保它符合客户的预算要求。</w:t>
      </w:r>
    </w:p>
    <w:p>
      <w:pPr>
        <w:numPr>
          <w:numId w:val="3"/>
        </w:numPr>
        <w:spacing w:before="120" w:after="120" w:line="288" w:lineRule="auto"/>
        <w:ind w:left="0"/>
        <w:jc w:val="left"/>
      </w:pPr>
      <w:r>
        <w:rPr>
          <w:rFonts w:eastAsia="等线" w:ascii="Arial" w:cs="Arial" w:hAnsi="Arial"/>
          <w:sz w:val="22"/>
        </w:rPr>
        <w:t>引导客户决策标准倾向我司：在销售过程中，客户的决策标准往往对最终结果产生重要影响。因此，我们需要通过有效的沟通和演示，引导客户将我们的价值主张和解决方案纳入他们的决策标准中。这可能需要我们提供案例研究、客户推荐或其他形式的证据来支持我们的论点。</w:t>
      </w:r>
    </w:p>
    <w:p>
      <w:pPr>
        <w:numPr>
          <w:numId w:val="4"/>
        </w:numPr>
        <w:spacing w:before="120" w:after="120" w:line="288" w:lineRule="auto"/>
        <w:ind w:left="0"/>
        <w:jc w:val="left"/>
      </w:pPr>
      <w:r>
        <w:rPr>
          <w:rFonts w:eastAsia="等线" w:ascii="Arial" w:cs="Arial" w:hAnsi="Arial"/>
          <w:sz w:val="22"/>
        </w:rPr>
        <w:t>制定并执行招标策略：如果销售机会涉及到招标过程，那么制定并执行一个有效的招标策略就显得尤为重要。这包括准备详细的投标文件、确保符合招标要求、以及在投标过程中展示我们的独特价值和优势。此外，我们还需要密切关注招标进度，以确保在关键时刻能够及时响应并提供必要的支持。</w:t>
      </w:r>
    </w:p>
    <w:p>
      <w:pPr>
        <w:spacing w:before="120" w:after="120" w:line="288" w:lineRule="auto"/>
        <w:ind w:left="0" w:firstLine="420"/>
        <w:jc w:val="left"/>
      </w:pPr>
      <w:r>
        <w:rPr>
          <w:rFonts w:eastAsia="等线" w:ascii="Arial" w:cs="Arial" w:hAnsi="Arial"/>
          <w:sz w:val="22"/>
        </w:rPr>
        <w:t>通过这些重点环节的推进，能够更有效地管理</w:t>
      </w:r>
      <w:r>
        <w:rPr>
          <w:rFonts w:eastAsia="等线" w:ascii="Arial" w:cs="Arial" w:hAnsi="Arial"/>
          <w:sz w:val="22"/>
        </w:rPr>
        <w:t>立项商机</w:t>
      </w:r>
      <w:r>
        <w:rPr>
          <w:rFonts w:eastAsia="等线" w:ascii="Arial" w:cs="Arial" w:hAnsi="Arial"/>
          <w:sz w:val="22"/>
        </w:rPr>
        <w:t>，提高赢单率，并最终实现业务增长。同时，这一过程也有助于加强销售团队与客户之间的关系，为未来的合作奠定坚实基础。</w:t>
      </w:r>
      <w:r>
        <w:rPr>
          <w:rFonts w:eastAsia="等线" w:ascii="Arial" w:cs="Arial" w:hAnsi="Arial"/>
          <w:sz w:val="22"/>
        </w:rPr>
        <w:t>提升一线团队具备自主推进商机，明确价值主张，重构客户愿景的能力。</w:t>
      </w:r>
    </w:p>
    <w:p>
      <w:pPr>
        <w:pStyle w:val="1"/>
        <w:spacing w:before="380" w:after="140" w:line="288" w:lineRule="auto"/>
        <w:ind w:left="0"/>
        <w:jc w:val="left"/>
        <w:outlineLvl w:val="0"/>
      </w:pPr>
      <w:bookmarkStart w:name="heading_2" w:id="2"/>
      <w:r>
        <w:rPr>
          <w:rFonts w:eastAsia="等线" w:ascii="Arial" w:cs="Arial" w:hAnsi="Arial"/>
          <w:color w:val="3370ff"/>
          <w:sz w:val="36"/>
        </w:rPr>
        <w:t xml:space="preserve">2. </w:t>
      </w:r>
      <w:r>
        <w:rPr>
          <w:rFonts w:eastAsia="等线" w:ascii="Arial" w:cs="Arial" w:hAnsi="Arial"/>
          <w:b w:val="true"/>
          <w:sz w:val="36"/>
        </w:rPr>
        <w:t>适用范围</w:t>
      </w:r>
      <w:bookmarkEnd w:id="2"/>
    </w:p>
    <w:p>
      <w:pPr>
        <w:spacing w:before="120" w:after="120" w:line="288" w:lineRule="auto"/>
        <w:ind w:left="0"/>
        <w:jc w:val="left"/>
      </w:pPr>
      <w:r>
        <w:rPr>
          <w:rFonts w:eastAsia="等线" w:ascii="Arial" w:cs="Arial" w:hAnsi="Arial"/>
          <w:sz w:val="22"/>
        </w:rPr>
        <w:t>本流程适用于 EBG</w:t>
      </w:r>
      <w:r>
        <w:rPr>
          <w:rFonts w:eastAsia="等线" w:ascii="Arial" w:cs="Arial" w:hAnsi="Arial"/>
          <w:sz w:val="22"/>
        </w:rPr>
        <w:t>全员，商机包括</w:t>
      </w:r>
      <w:r>
        <w:rPr>
          <w:rFonts w:eastAsia="等线" w:ascii="Arial" w:cs="Arial" w:hAnsi="Arial"/>
          <w:sz w:val="22"/>
        </w:rPr>
        <w:t>所有进入推进阶段的</w:t>
      </w:r>
      <w:r>
        <w:rPr>
          <w:rFonts w:eastAsia="等线" w:ascii="Arial" w:cs="Arial" w:hAnsi="Arial"/>
          <w:sz w:val="22"/>
        </w:rPr>
        <w:t>已立项</w:t>
      </w:r>
      <w:r>
        <w:rPr>
          <w:rFonts w:eastAsia="等线" w:ascii="Arial" w:cs="Arial" w:hAnsi="Arial"/>
          <w:sz w:val="22"/>
        </w:rPr>
        <w:t>商机。</w:t>
      </w:r>
    </w:p>
    <w:p>
      <w:pPr>
        <w:pStyle w:val="1"/>
        <w:spacing w:before="380" w:after="140" w:line="288" w:lineRule="auto"/>
        <w:ind w:left="0"/>
        <w:jc w:val="left"/>
        <w:outlineLvl w:val="0"/>
      </w:pPr>
      <w:bookmarkStart w:name="heading_3" w:id="3"/>
      <w:r>
        <w:rPr>
          <w:rFonts w:eastAsia="等线" w:ascii="Arial" w:cs="Arial" w:hAnsi="Arial"/>
          <w:color w:val="3370ff"/>
          <w:sz w:val="36"/>
        </w:rPr>
        <w:t xml:space="preserve">3. </w:t>
      </w:r>
      <w:r>
        <w:rPr>
          <w:rFonts w:eastAsia="等线" w:ascii="Arial" w:cs="Arial" w:hAnsi="Arial"/>
          <w:b w:val="true"/>
          <w:sz w:val="36"/>
        </w:rPr>
        <w:t>名词解释</w:t>
      </w:r>
      <w:bookmarkEnd w:id="3"/>
    </w:p>
    <w:p>
      <w:pPr>
        <w:spacing w:before="120" w:after="120" w:line="288" w:lineRule="auto"/>
        <w:ind w:left="0"/>
        <w:jc w:val="left"/>
      </w:pPr>
      <w:r>
        <w:rPr>
          <w:rFonts w:eastAsia="等线" w:ascii="Arial" w:cs="Arial" w:hAnsi="Arial"/>
          <w:sz w:val="22"/>
        </w:rPr>
        <w:t>USP: Unique Selling Prospotion 独特的卖点</w:t>
      </w:r>
    </w:p>
    <w:p>
      <w:pPr>
        <w:spacing w:before="120" w:after="120" w:line="288" w:lineRule="auto"/>
        <w:ind w:left="0"/>
        <w:jc w:val="left"/>
      </w:pPr>
      <w:r>
        <w:rPr>
          <w:rFonts w:eastAsia="等线" w:ascii="Arial" w:cs="Arial" w:hAnsi="Arial"/>
          <w:sz w:val="22"/>
        </w:rPr>
        <w:t>UBV: Unique Business Value 独特的业务价值</w:t>
      </w:r>
    </w:p>
    <w:p>
      <w:pPr>
        <w:spacing w:before="120" w:after="120" w:line="288" w:lineRule="auto"/>
        <w:ind w:left="0"/>
        <w:jc w:val="left"/>
      </w:pPr>
      <w:r>
        <w:rPr>
          <w:rFonts w:eastAsia="等线" w:ascii="Arial" w:cs="Arial" w:hAnsi="Arial"/>
          <w:sz w:val="22"/>
        </w:rPr>
        <w:t>价值主张：</w:t>
      </w:r>
      <w:r>
        <w:rPr>
          <w:rFonts w:eastAsia="等线" w:ascii="Arial" w:cs="Arial" w:hAnsi="Arial"/>
          <w:sz w:val="22"/>
        </w:rPr>
        <w:t>解决方案或组织</w:t>
      </w:r>
      <w:r>
        <w:rPr>
          <w:rFonts w:eastAsia="等线" w:ascii="Arial" w:cs="Arial" w:hAnsi="Arial"/>
          <w:sz w:val="22"/>
        </w:rPr>
        <w:t>优势、与竞争对手的差异、能够提供给客户的特殊价值。</w:t>
      </w:r>
    </w:p>
    <w:p>
      <w:pPr>
        <w:spacing w:before="120" w:after="120" w:line="288" w:lineRule="auto"/>
        <w:ind w:left="0"/>
        <w:jc w:val="left"/>
      </w:pPr>
      <w:r>
        <w:rPr>
          <w:rFonts w:eastAsia="等线" w:ascii="Arial" w:cs="Arial" w:hAnsi="Arial"/>
          <w:sz w:val="22"/>
        </w:rPr>
        <w:t>SWOT分析：强调客户关键成功要素分析，识别其权重，结构化制定“客户选择我们的倾向”与“客户不选择我们的根因”的引导策略，制定项目中企业对客户的价值，并将价值货币化。</w:t>
      </w:r>
      <w:r>
        <w:rPr>
          <w:rFonts w:eastAsia="等线" w:ascii="Arial" w:cs="Arial" w:hAnsi="Arial"/>
          <w:sz w:val="22"/>
        </w:rPr>
        <w:br/>
      </w:r>
      <w:r>
        <w:rPr>
          <w:rFonts w:eastAsia="等线" w:ascii="Arial" w:cs="Arial" w:hAnsi="Arial"/>
          <w:sz w:val="22"/>
        </w:rPr>
        <w:t xml:space="preserve">  </w:t>
      </w:r>
    </w:p>
    <w:p>
      <w:pPr>
        <w:pStyle w:val="1"/>
        <w:spacing w:before="380" w:after="140" w:line="288" w:lineRule="auto"/>
        <w:ind w:left="0"/>
        <w:jc w:val="left"/>
        <w:outlineLvl w:val="0"/>
      </w:pPr>
      <w:bookmarkStart w:name="heading_4" w:id="4"/>
      <w:r>
        <w:rPr>
          <w:rFonts w:eastAsia="等线" w:ascii="Arial" w:cs="Arial" w:hAnsi="Arial"/>
          <w:color w:val="3370ff"/>
          <w:sz w:val="36"/>
        </w:rPr>
        <w:t xml:space="preserve">4. </w:t>
      </w:r>
      <w:r>
        <w:rPr>
          <w:rFonts w:eastAsia="等线" w:ascii="Arial" w:cs="Arial" w:hAnsi="Arial"/>
          <w:b w:val="true"/>
          <w:sz w:val="36"/>
        </w:rPr>
        <w:t>职责分工</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260"/>
        <w:gridCol w:w="1260"/>
        <w:gridCol w:w="5760"/>
      </w:tblGrid>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角色</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描述</w:t>
            </w:r>
          </w:p>
        </w:tc>
        <w:tc>
          <w:tcPr>
            <w:tcW w:w="57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职责</w:t>
            </w: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技术负责人</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售前工程师、技术经理、售前大区节点经理、售前技术部总经理</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分析客户需求及竞争态势</w:t>
            </w:r>
            <w:r>
              <w:rPr>
                <w:rFonts w:eastAsia="等线" w:ascii="Arial" w:cs="Arial" w:hAnsi="Arial"/>
                <w:sz w:val="22"/>
              </w:rPr>
              <w:t>；</w:t>
            </w:r>
            <w:r>
              <w:rPr>
                <w:rFonts w:eastAsia="等线" w:ascii="Arial" w:cs="Arial" w:hAnsi="Arial"/>
                <w:sz w:val="22"/>
              </w:rPr>
              <w:t>匹配我司USP</w:t>
            </w:r>
            <w:r>
              <w:rPr>
                <w:rFonts w:eastAsia="等线" w:ascii="Arial" w:cs="Arial" w:hAnsi="Arial"/>
                <w:sz w:val="22"/>
              </w:rPr>
              <w:t>，</w:t>
            </w:r>
            <w:r>
              <w:rPr>
                <w:rFonts w:eastAsia="等线" w:ascii="Arial" w:cs="Arial" w:hAnsi="Arial"/>
                <w:sz w:val="22"/>
              </w:rPr>
              <w:t>拿USP跟客户决策人逐一沟通</w:t>
            </w:r>
            <w:r>
              <w:rPr>
                <w:rFonts w:eastAsia="等线" w:ascii="Arial" w:cs="Arial" w:hAnsi="Arial"/>
                <w:sz w:val="22"/>
              </w:rPr>
              <w:t>；</w:t>
            </w:r>
            <w:r>
              <w:rPr>
                <w:rFonts w:eastAsia="等线" w:ascii="Arial" w:cs="Arial" w:hAnsi="Arial"/>
                <w:sz w:val="22"/>
              </w:rPr>
              <w:t>结合客户期望确定UBV</w:t>
            </w:r>
            <w:r>
              <w:rPr>
                <w:rFonts w:eastAsia="等线" w:ascii="Arial" w:cs="Arial" w:hAnsi="Arial"/>
                <w:sz w:val="22"/>
              </w:rPr>
              <w:t>，</w:t>
            </w:r>
            <w:r>
              <w:rPr>
                <w:rFonts w:eastAsia="等线" w:ascii="Arial" w:cs="Arial" w:hAnsi="Arial"/>
                <w:sz w:val="22"/>
              </w:rPr>
              <w:t>制定价值主张和赢单策略；确定方案制作思路</w:t>
            </w:r>
            <w:r>
              <w:rPr>
                <w:rFonts w:eastAsia="等线" w:ascii="Arial" w:cs="Arial" w:hAnsi="Arial"/>
                <w:sz w:val="22"/>
              </w:rPr>
              <w:t>，</w:t>
            </w:r>
            <w:r>
              <w:rPr>
                <w:rFonts w:eastAsia="等线" w:ascii="Arial" w:cs="Arial" w:hAnsi="Arial"/>
                <w:sz w:val="22"/>
              </w:rPr>
              <w:t>解决方案制作</w:t>
            </w:r>
            <w:r>
              <w:rPr>
                <w:rFonts w:eastAsia="等线" w:ascii="Arial" w:cs="Arial" w:hAnsi="Arial"/>
                <w:sz w:val="22"/>
              </w:rPr>
              <w:t>，</w:t>
            </w:r>
            <w:r>
              <w:rPr>
                <w:rFonts w:eastAsia="等线" w:ascii="Arial" w:cs="Arial" w:hAnsi="Arial"/>
                <w:sz w:val="22"/>
              </w:rPr>
              <w:t>产品与需求匹配检查</w:t>
            </w:r>
            <w:r>
              <w:rPr>
                <w:rFonts w:eastAsia="等线" w:ascii="Arial" w:cs="Arial" w:hAnsi="Arial"/>
                <w:sz w:val="22"/>
              </w:rPr>
              <w:t>，</w:t>
            </w:r>
            <w:r>
              <w:rPr>
                <w:rFonts w:eastAsia="等线" w:ascii="Arial" w:cs="Arial" w:hAnsi="Arial"/>
                <w:sz w:val="22"/>
              </w:rPr>
              <w:t>确定最终解决方案；解决方案介绍</w:t>
            </w:r>
            <w:r>
              <w:rPr>
                <w:rFonts w:eastAsia="等线" w:ascii="Arial" w:cs="Arial" w:hAnsi="Arial"/>
                <w:sz w:val="22"/>
              </w:rPr>
              <w:t>，</w:t>
            </w:r>
            <w:r>
              <w:rPr>
                <w:rFonts w:eastAsia="等线" w:ascii="Arial" w:cs="Arial" w:hAnsi="Arial"/>
                <w:sz w:val="22"/>
              </w:rPr>
              <w:t>进行测试引导</w:t>
            </w:r>
            <w:r>
              <w:rPr>
                <w:rFonts w:eastAsia="等线" w:ascii="Arial" w:cs="Arial" w:hAnsi="Arial"/>
                <w:sz w:val="22"/>
              </w:rPr>
              <w:t>，</w:t>
            </w:r>
            <w:r>
              <w:rPr>
                <w:rFonts w:eastAsia="等线" w:ascii="Arial" w:cs="Arial" w:hAnsi="Arial"/>
                <w:sz w:val="22"/>
              </w:rPr>
              <w:t>确认客户是否认可。</w:t>
            </w: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客户关系负责人</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行业客户代表、行业经理、城市客户代表、城市经理、渠道经理、服务产品销售</w:t>
            </w:r>
            <w:r>
              <w:rPr>
                <w:rFonts w:eastAsia="等线" w:ascii="Arial" w:cs="Arial" w:hAnsi="Arial"/>
                <w:sz w:val="22"/>
              </w:rPr>
              <w:t>、区域副经理、区域经理</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w:t>
            </w:r>
            <w:r>
              <w:rPr>
                <w:rFonts w:eastAsia="等线" w:ascii="Arial" w:cs="Arial" w:hAnsi="Arial"/>
                <w:sz w:val="22"/>
              </w:rPr>
              <w:t>客户</w:t>
            </w:r>
            <w:r>
              <w:rPr>
                <w:rFonts w:eastAsia="等线" w:ascii="Arial" w:cs="Arial" w:hAnsi="Arial"/>
                <w:sz w:val="22"/>
              </w:rPr>
              <w:t>关系维护</w:t>
            </w:r>
            <w:r>
              <w:rPr>
                <w:rFonts w:eastAsia="等线" w:ascii="Arial" w:cs="Arial" w:hAnsi="Arial"/>
                <w:sz w:val="22"/>
              </w:rPr>
              <w:t>，联合售前进行策略制定；确定方案制作思路、产品与需求匹配检查；邀约客户关键人、开展11N活动，重客组织开展高质量客户交流。</w:t>
            </w:r>
          </w:p>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客户体验负责人</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客户体验部区域经理、售后</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评估</w:t>
            </w:r>
            <w:r>
              <w:rPr>
                <w:rFonts w:eastAsia="等线" w:ascii="Arial" w:cs="Arial" w:hAnsi="Arial"/>
                <w:sz w:val="22"/>
              </w:rPr>
              <w:t>实施交付</w:t>
            </w:r>
            <w:r>
              <w:rPr>
                <w:rFonts w:eastAsia="等线" w:ascii="Arial" w:cs="Arial" w:hAnsi="Arial"/>
                <w:sz w:val="22"/>
              </w:rPr>
              <w:t>方案；</w:t>
            </w:r>
            <w:r>
              <w:rPr>
                <w:rFonts w:eastAsia="等线" w:ascii="Arial" w:cs="Arial" w:hAnsi="Arial"/>
                <w:sz w:val="22"/>
              </w:rPr>
              <w:t>组织测试；</w:t>
            </w: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项目经理</w:t>
            </w: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行业经理、城市经理、区域副经理、</w:t>
            </w:r>
            <w:r>
              <w:rPr>
                <w:rFonts w:eastAsia="等线" w:ascii="Arial" w:cs="Arial" w:hAnsi="Arial"/>
                <w:sz w:val="22"/>
              </w:rPr>
              <w:t>区域经理、</w:t>
            </w:r>
            <w:r>
              <w:rPr>
                <w:rFonts w:eastAsia="等线" w:ascii="Arial" w:cs="Arial" w:hAnsi="Arial"/>
                <w:sz w:val="22"/>
              </w:rPr>
              <w:t>系统部总经理</w:t>
            </w: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项目第一责任人，负责项目组成员协同；审核及指导</w:t>
            </w:r>
            <w:r>
              <w:rPr>
                <w:rFonts w:eastAsia="等线" w:ascii="Arial" w:cs="Arial" w:hAnsi="Arial"/>
                <w:sz w:val="22"/>
              </w:rPr>
              <w:t>项目价值主张及赢单策略</w:t>
            </w:r>
            <w:r>
              <w:rPr>
                <w:rFonts w:eastAsia="等线" w:ascii="Arial" w:cs="Arial" w:hAnsi="Arial"/>
                <w:sz w:val="22"/>
              </w:rPr>
              <w:t>；负责客户拍板者者的关系维护；</w:t>
            </w:r>
          </w:p>
          <w:p>
            <w:pPr>
              <w:spacing w:before="120" w:after="120" w:line="288" w:lineRule="auto"/>
              <w:ind w:left="0"/>
              <w:jc w:val="left"/>
            </w:pPr>
          </w:p>
        </w:tc>
      </w:tr>
      <w:tr>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评审委员会</w:t>
            </w:r>
          </w:p>
        </w:tc>
        <w:tc>
          <w:tcPr>
            <w:tcW w:w="1260" w:type="dxa"/>
            <w:tcMar>
              <w:top w:type="dxa" w:w="60"/>
              <w:left w:type="dxa" w:w="120"/>
              <w:bottom w:type="dxa" w:w="30"/>
              <w:right w:type="dxa" w:w="120"/>
            </w:tcMar>
          </w:tcPr>
          <w:p>
            <w:pPr>
              <w:spacing w:before="120" w:after="120" w:line="288" w:lineRule="auto"/>
              <w:ind w:left="0"/>
              <w:jc w:val="left"/>
            </w:pPr>
          </w:p>
        </w:tc>
        <w:tc>
          <w:tcPr>
            <w:tcW w:w="57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负责对最终技术方案进行评审确认。</w:t>
            </w:r>
          </w:p>
        </w:tc>
      </w:tr>
    </w:tbl>
    <w:p>
      <w:pPr>
        <w:pStyle w:val="1"/>
        <w:spacing w:before="380" w:after="140" w:line="288" w:lineRule="auto"/>
        <w:ind w:left="0"/>
        <w:jc w:val="left"/>
        <w:outlineLvl w:val="0"/>
      </w:pPr>
      <w:bookmarkStart w:name="heading_5" w:id="5"/>
      <w:r>
        <w:rPr>
          <w:rFonts w:eastAsia="等线" w:ascii="Arial" w:cs="Arial" w:hAnsi="Arial"/>
          <w:color w:val="3370ff"/>
          <w:sz w:val="36"/>
        </w:rPr>
        <w:t xml:space="preserve">5. </w:t>
      </w:r>
      <w:r>
        <w:rPr>
          <w:rFonts w:eastAsia="等线" w:ascii="Arial" w:cs="Arial" w:hAnsi="Arial"/>
          <w:b w:val="true"/>
          <w:sz w:val="36"/>
        </w:rPr>
        <w:t>流程文件评审</w:t>
      </w:r>
      <w:bookmarkEnd w:id="5"/>
    </w:p>
    <w:p>
      <w:pPr>
        <w:pStyle w:val="2"/>
        <w:spacing w:before="320" w:after="120" w:line="288" w:lineRule="auto"/>
        <w:ind w:left="453"/>
        <w:jc w:val="left"/>
        <w:outlineLvl w:val="1"/>
      </w:pPr>
      <w:bookmarkStart w:name="heading_6" w:id="6"/>
      <w:r>
        <w:rPr>
          <w:rFonts w:eastAsia="等线" w:ascii="Arial" w:cs="Arial" w:hAnsi="Arial"/>
          <w:color w:val="3370ff"/>
          <w:sz w:val="32"/>
        </w:rPr>
        <w:t xml:space="preserve">5.1 </w:t>
      </w:r>
      <w:r>
        <w:rPr>
          <w:rFonts w:eastAsia="等线" w:ascii="Arial" w:cs="Arial" w:hAnsi="Arial"/>
          <w:b w:val="true"/>
          <w:sz w:val="32"/>
        </w:rPr>
        <w:t>流程卡</w:t>
      </w:r>
      <w:bookmarkEnd w:id="6"/>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30"/>
        <w:gridCol w:w="3105"/>
        <w:gridCol w:w="855"/>
        <w:gridCol w:w="855"/>
        <w:gridCol w:w="1005"/>
        <w:gridCol w:w="1545"/>
      </w:tblGrid>
      <w:tr>
        <w:tc>
          <w:tcPr>
            <w:tcW w:w="93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流程名称</w:t>
            </w:r>
          </w:p>
        </w:tc>
        <w:tc>
          <w:tcPr>
            <w:tcW w:w="31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 xml:space="preserve">M11.2 推进商机 </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流程层级</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L3</w:t>
            </w:r>
          </w:p>
        </w:tc>
        <w:tc>
          <w:tcPr>
            <w:tcW w:w="100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流程架构编码</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M11.2</w:t>
            </w: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流程定义</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进商机流程是指一系列有计划、有组织的步骤和活动，旨在识别、评估、推进并最终转化销售机会为实际销售成果的过程。它涵盖了从初步接触客户到成功赢得订单的整个销售周期，包括制定价值主张、提供解决方案、引导客户决策以及执行相关销售策略等关键环节。</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流程目的</w:t>
            </w:r>
          </w:p>
          <w:p>
            <w:pPr>
              <w:spacing w:before="120" w:after="120" w:line="288" w:lineRule="auto"/>
              <w:ind w:left="0"/>
              <w:jc w:val="left"/>
            </w:pPr>
          </w:p>
        </w:tc>
        <w:tc>
          <w:tcPr>
            <w:tcW w:w="340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推进商机流程的目的在于系统化、高效地管理销售机会，通过一系列精心策划的步骤，确保销售机会的顺利转化，从而提高赢单率，实现销售业绩的增长，并加强与客户的关系，为企业的持续发展奠定坚实基础。</w:t>
            </w: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545" w:type="dxa"/>
            <w:hMerge w:val="continue"/>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流程程责任岗位</w:t>
            </w:r>
          </w:p>
        </w:tc>
        <w:tc>
          <w:tcPr>
            <w:tcW w:w="31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上一层流程名称</w:t>
            </w:r>
          </w:p>
        </w:tc>
        <w:tc>
          <w:tcPr>
            <w:tcW w:w="340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MO   管理商机</w:t>
            </w:r>
          </w:p>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545" w:type="dxa"/>
            <w:hMerge w:val="continue"/>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包含的下层子流程或活动</w:t>
            </w:r>
          </w:p>
        </w:tc>
        <w:tc>
          <w:tcPr>
            <w:tcW w:w="73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制定价值主张及赢单策略；制定客户解决方案；引导客户决策标准倾向我司；制定并执行招标策略</w:t>
            </w:r>
            <w:r>
              <w:rPr>
                <w:rFonts w:eastAsia="等线" w:ascii="Arial" w:cs="Arial" w:hAnsi="Arial"/>
                <w:sz w:val="22"/>
              </w:rPr>
              <w:t>。</w:t>
            </w:r>
          </w:p>
        </w:tc>
        <w:tc>
          <w:tcPr>
            <w:tcW w:w="85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545" w:type="dxa"/>
            <w:hMerge w:val="continue"/>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流程输入</w:t>
            </w:r>
          </w:p>
        </w:tc>
        <w:tc>
          <w:tcPr>
            <w:tcW w:w="73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通过立项评审的项目</w:t>
            </w:r>
            <w:r>
              <w:rPr>
                <w:rFonts w:eastAsia="等线" w:ascii="Arial" w:cs="Arial" w:hAnsi="Arial"/>
                <w:sz w:val="22"/>
              </w:rPr>
              <w:t>及立项评审会记录</w:t>
            </w:r>
          </w:p>
        </w:tc>
        <w:tc>
          <w:tcPr>
            <w:tcW w:w="85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545" w:type="dxa"/>
            <w:hMerge w:val="continue"/>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输入标准</w:t>
            </w:r>
          </w:p>
        </w:tc>
        <w:tc>
          <w:tcPr>
            <w:tcW w:w="73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一般商机的MANT+P+折扣信息清楚、完整、符合SMART原则。</w:t>
            </w:r>
          </w:p>
          <w:p>
            <w:pPr>
              <w:spacing w:before="120" w:after="120" w:line="288" w:lineRule="auto"/>
              <w:ind w:left="0"/>
              <w:jc w:val="left"/>
            </w:pPr>
            <w:r>
              <w:rPr>
                <w:rFonts w:eastAsia="等线" w:ascii="Arial" w:cs="Arial" w:hAnsi="Arial"/>
                <w:sz w:val="22"/>
              </w:rPr>
              <w:t>立项商机的MANT+P+折扣信息清楚、完整、符合SMART原则，同时有明确的商机等级、项目经理和项目组成员名单，可执行的项目跟进计划。</w:t>
            </w:r>
          </w:p>
        </w:tc>
        <w:tc>
          <w:tcPr>
            <w:tcW w:w="85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545" w:type="dxa"/>
            <w:hMerge w:val="continue"/>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流程输出</w:t>
            </w:r>
          </w:p>
        </w:tc>
        <w:tc>
          <w:tcPr>
            <w:tcW w:w="73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招标文件</w:t>
            </w:r>
          </w:p>
        </w:tc>
        <w:tc>
          <w:tcPr>
            <w:tcW w:w="85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545" w:type="dxa"/>
            <w:hMerge w:val="continue"/>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输出标准</w:t>
            </w:r>
          </w:p>
        </w:tc>
        <w:tc>
          <w:tcPr>
            <w:tcW w:w="73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按我司标底发标</w:t>
            </w:r>
          </w:p>
        </w:tc>
        <w:tc>
          <w:tcPr>
            <w:tcW w:w="85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545" w:type="dxa"/>
            <w:hMerge w:val="continue"/>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流程起点</w:t>
            </w:r>
          </w:p>
        </w:tc>
        <w:tc>
          <w:tcPr>
            <w:tcW w:w="73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价值主张及赢单策略：深入理解客户需求，明确我们如何能够满足这些需求，并突出我们相对于竞争对手的独特价值。在这一阶段，销售团队会与客户进行深入沟通，制定一个具有吸引力的价值主张，并规划出具体的赢单策略。</w:t>
            </w:r>
          </w:p>
        </w:tc>
        <w:tc>
          <w:tcPr>
            <w:tcW w:w="85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545" w:type="dxa"/>
            <w:hMerge w:val="continue"/>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流程终点</w:t>
            </w:r>
          </w:p>
        </w:tc>
        <w:tc>
          <w:tcPr>
            <w:tcW w:w="7365" w:type="dxa"/>
            <w:hMerge w:val="restart"/>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制定并执行有效的招标策略：加强销售团队与客户之间的关系，更有效地管理销售机会，提高赢单率，并最终实现业务增长。</w:t>
            </w:r>
          </w:p>
        </w:tc>
        <w:tc>
          <w:tcPr>
            <w:tcW w:w="85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545" w:type="dxa"/>
            <w:hMerge w:val="continue"/>
            <w:tcMar>
              <w:top w:type="dxa" w:w="60"/>
              <w:left w:type="dxa" w:w="120"/>
              <w:bottom w:type="dxa" w:w="30"/>
              <w:right w:type="dxa" w:w="120"/>
            </w:tcMar>
          </w:tcPr>
          <w:p>
            <w:pPr>
              <w:spacing w:before="120" w:after="120" w:line="288" w:lineRule="auto"/>
              <w:ind w:left="0"/>
              <w:jc w:val="left"/>
            </w:pPr>
          </w:p>
        </w:tc>
      </w:tr>
      <w:tr>
        <w:tc>
          <w:tcPr>
            <w:tcW w:w="93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流程绩效指标</w:t>
            </w:r>
          </w:p>
        </w:tc>
        <w:tc>
          <w:tcPr>
            <w:tcW w:w="7365" w:type="dxa"/>
            <w:hMerge w:val="restart"/>
            <w:tcMar>
              <w:top w:type="dxa" w:w="60"/>
              <w:left w:type="dxa" w:w="120"/>
              <w:bottom w:type="dxa" w:w="30"/>
              <w:right w:type="dxa" w:w="120"/>
            </w:tcMar>
          </w:tcPr>
          <w:p>
            <w:pPr>
              <w:numPr>
                <w:numId w:val="5"/>
              </w:numPr>
              <w:spacing w:before="120" w:after="120" w:line="288" w:lineRule="auto"/>
              <w:ind w:left="0"/>
              <w:jc w:val="left"/>
            </w:pPr>
            <w:r>
              <w:rPr>
                <w:rFonts w:eastAsia="等线" w:ascii="Arial" w:cs="Arial" w:hAnsi="Arial"/>
                <w:sz w:val="22"/>
              </w:rPr>
              <w:t>价值主张</w:t>
            </w:r>
            <w:r>
              <w:rPr>
                <w:rFonts w:eastAsia="等线" w:ascii="Arial" w:cs="Arial" w:hAnsi="Arial"/>
                <w:sz w:val="22"/>
              </w:rPr>
              <w:t>确认率：年度明确价值主张立项项目/年度所有立项项目</w:t>
            </w:r>
            <w:r>
              <w:rPr>
                <w:rFonts w:eastAsia="等线" w:ascii="Arial" w:cs="Arial" w:hAnsi="Arial"/>
                <w:sz w:val="22"/>
              </w:rPr>
              <w:t>；</w:t>
            </w:r>
            <w:r>
              <w:rPr>
                <w:rFonts w:eastAsia="等线" w:ascii="Arial" w:cs="Arial" w:hAnsi="Arial"/>
                <w:sz w:val="22"/>
              </w:rPr>
              <w:t xml:space="preserve">  目标100%；</w:t>
            </w:r>
          </w:p>
          <w:p>
            <w:pPr>
              <w:spacing w:before="120" w:after="120" w:line="288" w:lineRule="auto"/>
              <w:ind w:left="0"/>
              <w:jc w:val="left"/>
            </w:pPr>
          </w:p>
          <w:p>
            <w:pPr>
              <w:numPr>
                <w:numId w:val="6"/>
              </w:numPr>
              <w:spacing w:before="120" w:after="120" w:line="288" w:lineRule="auto"/>
              <w:ind w:left="0"/>
              <w:jc w:val="left"/>
            </w:pPr>
            <w:r>
              <w:rPr>
                <w:rFonts w:eastAsia="等线" w:ascii="Arial" w:cs="Arial" w:hAnsi="Arial"/>
                <w:sz w:val="22"/>
              </w:rPr>
              <w:t>立项项目解决方案评审率</w:t>
            </w:r>
            <w:r>
              <w:rPr>
                <w:rFonts w:eastAsia="等线" w:ascii="Arial" w:cs="Arial" w:hAnsi="Arial"/>
                <w:sz w:val="22"/>
              </w:rPr>
              <w:t>：年度召开解决方案评审立项项目/年度所有立项项目；目标</w:t>
            </w:r>
            <w:r>
              <w:rPr>
                <w:rFonts w:eastAsia="等线" w:ascii="Arial" w:cs="Arial" w:hAnsi="Arial"/>
                <w:sz w:val="22"/>
              </w:rPr>
              <w:t>100%；</w:t>
            </w:r>
          </w:p>
          <w:p>
            <w:pPr>
              <w:spacing w:before="120" w:after="120" w:line="288" w:lineRule="auto"/>
              <w:ind w:left="453"/>
              <w:jc w:val="left"/>
            </w:pPr>
          </w:p>
          <w:p>
            <w:pPr>
              <w:numPr>
                <w:numId w:val="7"/>
              </w:numPr>
              <w:spacing w:before="120" w:after="120" w:line="288" w:lineRule="auto"/>
              <w:ind w:left="0"/>
              <w:jc w:val="left"/>
            </w:pPr>
            <w:r>
              <w:rPr>
                <w:rFonts w:eastAsia="等线" w:ascii="Arial" w:cs="Arial" w:hAnsi="Arial"/>
                <w:sz w:val="22"/>
              </w:rPr>
              <w:t>立项项目按我司标底</w:t>
            </w:r>
            <w:r>
              <w:rPr>
                <w:rFonts w:eastAsia="等线" w:ascii="Arial" w:cs="Arial" w:hAnsi="Arial"/>
                <w:sz w:val="22"/>
              </w:rPr>
              <w:t>发标</w:t>
            </w:r>
            <w:r>
              <w:rPr>
                <w:rFonts w:eastAsia="等线" w:ascii="Arial" w:cs="Arial" w:hAnsi="Arial"/>
                <w:sz w:val="22"/>
              </w:rPr>
              <w:t>率：年度按我司标底发标立项项目/年度所有立项项目；目标待定；</w:t>
            </w:r>
          </w:p>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855" w:type="dxa"/>
            <w:hMerge w:val="continue"/>
            <w:tcMar>
              <w:top w:type="dxa" w:w="60"/>
              <w:left w:type="dxa" w:w="120"/>
              <w:bottom w:type="dxa" w:w="30"/>
              <w:right w:type="dxa" w:w="120"/>
            </w:tcMar>
          </w:tcPr>
          <w:p>
            <w:pPr>
              <w:spacing w:before="120" w:after="120" w:line="288" w:lineRule="auto"/>
              <w:ind w:left="0"/>
              <w:jc w:val="left"/>
            </w:pPr>
          </w:p>
        </w:tc>
        <w:tc>
          <w:tcPr>
            <w:tcW w:w="1005" w:type="dxa"/>
            <w:hMerge w:val="continue"/>
            <w:tcMar>
              <w:top w:type="dxa" w:w="60"/>
              <w:left w:type="dxa" w:w="120"/>
              <w:bottom w:type="dxa" w:w="30"/>
              <w:right w:type="dxa" w:w="120"/>
            </w:tcMar>
          </w:tcPr>
          <w:p>
            <w:pPr>
              <w:spacing w:before="120" w:after="120" w:line="288" w:lineRule="auto"/>
              <w:ind w:left="0"/>
              <w:jc w:val="left"/>
            </w:pPr>
          </w:p>
        </w:tc>
        <w:tc>
          <w:tcPr>
            <w:tcW w:w="1545" w:type="dxa"/>
            <w:hMerge w:val="continue"/>
            <w:tcMar>
              <w:top w:type="dxa" w:w="60"/>
              <w:left w:type="dxa" w:w="120"/>
              <w:bottom w:type="dxa" w:w="30"/>
              <w:right w:type="dxa" w:w="120"/>
            </w:tcMar>
          </w:tcPr>
          <w:p>
            <w:pPr>
              <w:spacing w:before="120" w:after="120" w:line="288" w:lineRule="auto"/>
              <w:ind w:left="0"/>
              <w:jc w:val="left"/>
            </w:pPr>
          </w:p>
        </w:tc>
      </w:tr>
    </w:tbl>
    <w:p>
      <w:pPr>
        <w:pStyle w:val="2"/>
        <w:spacing w:before="320" w:after="120" w:line="288" w:lineRule="auto"/>
        <w:ind w:left="0"/>
        <w:jc w:val="left"/>
        <w:outlineLvl w:val="1"/>
      </w:pPr>
      <w:bookmarkStart w:name="heading_7" w:id="7"/>
      <w:r>
        <w:rPr>
          <w:rFonts w:eastAsia="等线" w:ascii="Arial" w:cs="Arial" w:hAnsi="Arial"/>
          <w:color w:val="3370ff"/>
          <w:sz w:val="32"/>
        </w:rPr>
        <w:t xml:space="preserve">5.2 </w:t>
      </w:r>
      <w:r>
        <w:rPr>
          <w:rFonts w:eastAsia="等线" w:ascii="Arial" w:cs="Arial" w:hAnsi="Arial"/>
          <w:b w:val="true"/>
          <w:sz w:val="32"/>
        </w:rPr>
        <w:t>流程图及说明</w:t>
      </w:r>
      <w:bookmarkEnd w:id="7"/>
    </w:p>
    <w:p>
      <w:pPr>
        <w:pStyle w:val="3"/>
        <w:spacing w:before="300" w:after="120" w:line="288" w:lineRule="auto"/>
        <w:ind w:left="453"/>
        <w:jc w:val="left"/>
        <w:outlineLvl w:val="2"/>
      </w:pPr>
      <w:bookmarkStart w:name="heading_8" w:id="8"/>
      <w:r>
        <w:rPr>
          <w:rFonts w:eastAsia="等线" w:ascii="Arial" w:cs="Arial" w:hAnsi="Arial"/>
          <w:color w:val="3370ff"/>
          <w:sz w:val="30"/>
        </w:rPr>
        <w:t xml:space="preserve">5.2.1 </w:t>
      </w:r>
      <w:r>
        <w:rPr>
          <w:rFonts w:eastAsia="等线" w:ascii="Arial" w:cs="Arial" w:hAnsi="Arial"/>
          <w:b w:val="true"/>
          <w:sz w:val="30"/>
        </w:rPr>
        <w:t>L2键盘图</w:t>
      </w:r>
      <w:bookmarkEnd w:id="8"/>
    </w:p>
    <w:p>
      <w:pPr>
        <w:spacing w:before="120" w:after="120" w:line="288" w:lineRule="auto"/>
        <w:ind w:left="453"/>
        <w:jc w:val="center"/>
      </w:pPr>
      <w:r>
        <w:drawing>
          <wp:inline distT="0" distR="0" distB="0" distL="0">
            <wp:extent cx="5257800" cy="22098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5"/>
                    <a:stretch>
                      <a:fillRect/>
                    </a:stretch>
                  </pic:blipFill>
                  <pic:spPr>
                    <a:xfrm>
                      <a:off x="0" y="0"/>
                      <a:ext cx="5257800" cy="2209800"/>
                    </a:xfrm>
                    <a:prstGeom prst="rect">
                      <a:avLst/>
                    </a:prstGeom>
                  </pic:spPr>
                </pic:pic>
              </a:graphicData>
            </a:graphic>
          </wp:inline>
        </w:drawing>
      </w:r>
    </w:p>
    <w:p>
      <w:pPr>
        <w:pStyle w:val="3"/>
        <w:spacing w:before="300" w:after="120" w:line="288" w:lineRule="auto"/>
        <w:ind w:left="0"/>
        <w:jc w:val="left"/>
        <w:outlineLvl w:val="2"/>
      </w:pPr>
      <w:bookmarkStart w:name="heading_9" w:id="9"/>
      <w:r>
        <w:rPr>
          <w:rFonts w:eastAsia="等线" w:ascii="Arial" w:cs="Arial" w:hAnsi="Arial"/>
          <w:color w:val="3370ff"/>
          <w:sz w:val="30"/>
        </w:rPr>
        <w:t xml:space="preserve">5.2.2 </w:t>
      </w:r>
      <w:r>
        <w:rPr>
          <w:rFonts w:eastAsia="等线" w:ascii="Arial" w:cs="Arial" w:hAnsi="Arial"/>
          <w:b w:val="true"/>
          <w:sz w:val="30"/>
        </w:rPr>
        <w:t>L2流程图</w:t>
      </w:r>
      <w:bookmarkEnd w:id="9"/>
    </w:p>
    <w:p>
      <w:pPr>
        <w:spacing w:before="120" w:after="120" w:line="288" w:lineRule="auto"/>
        <w:ind w:left="0"/>
        <w:jc w:val="center"/>
      </w:pPr>
      <w:r>
        <w:drawing>
          <wp:inline distT="0" distR="0" distB="0" distL="0">
            <wp:extent cx="5257800" cy="21431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143125"/>
                    </a:xfrm>
                    <a:prstGeom prst="rect">
                      <a:avLst/>
                    </a:prstGeom>
                  </pic:spPr>
                </pic:pic>
              </a:graphicData>
            </a:graphic>
          </wp:inline>
        </w:drawing>
      </w:r>
    </w:p>
    <w:p>
      <w:pPr>
        <w:pStyle w:val="3"/>
        <w:spacing w:before="300" w:after="120" w:line="288" w:lineRule="auto"/>
        <w:ind w:left="0"/>
        <w:jc w:val="left"/>
        <w:outlineLvl w:val="2"/>
      </w:pPr>
      <w:bookmarkStart w:name="heading_10" w:id="10"/>
      <w:r>
        <w:rPr>
          <w:rFonts w:eastAsia="等线" w:ascii="Arial" w:cs="Arial" w:hAnsi="Arial"/>
          <w:color w:val="3370ff"/>
          <w:sz w:val="30"/>
        </w:rPr>
        <w:t xml:space="preserve">5.2.3 </w:t>
      </w:r>
      <w:r>
        <w:rPr>
          <w:rFonts w:eastAsia="等线" w:ascii="Arial" w:cs="Arial" w:hAnsi="Arial"/>
          <w:b w:val="true"/>
          <w:sz w:val="30"/>
        </w:rPr>
        <w:t>L3示意图</w:t>
      </w:r>
      <w:bookmarkEnd w:id="10"/>
    </w:p>
    <w:p>
      <w:pPr>
        <w:spacing w:before="120" w:after="120" w:line="288" w:lineRule="auto"/>
        <w:ind w:left="0"/>
        <w:jc w:val="center"/>
      </w:pPr>
      <w:r>
        <w:drawing>
          <wp:inline distT="0" distR="0" distB="0" distL="0">
            <wp:extent cx="5257800" cy="1724025"/>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257800" cy="1724025"/>
                    </a:xfrm>
                    <a:prstGeom prst="rect">
                      <a:avLst/>
                    </a:prstGeom>
                  </pic:spPr>
                </pic:pic>
              </a:graphicData>
            </a:graphic>
          </wp:inline>
        </w:drawing>
      </w:r>
    </w:p>
    <w:p>
      <w:pPr>
        <w:pStyle w:val="3"/>
        <w:spacing w:before="300" w:after="120" w:line="288" w:lineRule="auto"/>
        <w:ind w:left="0"/>
        <w:jc w:val="left"/>
        <w:outlineLvl w:val="2"/>
      </w:pPr>
      <w:bookmarkStart w:name="heading_11" w:id="11"/>
      <w:r>
        <w:rPr>
          <w:rFonts w:eastAsia="等线" w:ascii="Arial" w:cs="Arial" w:hAnsi="Arial"/>
          <w:color w:val="3370ff"/>
          <w:sz w:val="30"/>
        </w:rPr>
        <w:t xml:space="preserve">5.2.4 </w:t>
      </w:r>
      <w:r>
        <w:rPr>
          <w:rFonts w:eastAsia="等线" w:ascii="Arial" w:cs="Arial" w:hAnsi="Arial"/>
          <w:b w:val="true"/>
          <w:sz w:val="30"/>
        </w:rPr>
        <w:t>L3流程图</w:t>
      </w:r>
      <w:bookmarkEnd w:id="11"/>
    </w:p>
    <w:p>
      <w:pPr>
        <w:spacing w:before="120" w:after="120" w:line="288" w:lineRule="auto"/>
        <w:ind w:left="0"/>
        <w:jc w:val="center"/>
      </w:pPr>
      <w:r>
        <w:drawing>
          <wp:inline distT="0" distR="0" distB="0" distL="0">
            <wp:extent cx="5257800" cy="17240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1724025"/>
                    </a:xfrm>
                    <a:prstGeom prst="rect">
                      <a:avLst/>
                    </a:prstGeom>
                  </pic:spPr>
                </pic:pic>
              </a:graphicData>
            </a:graphic>
          </wp:inline>
        </w:drawing>
      </w:r>
    </w:p>
    <w:p>
      <w:pPr>
        <w:pStyle w:val="3"/>
        <w:spacing w:before="300" w:after="120" w:line="288" w:lineRule="auto"/>
        <w:ind w:left="0"/>
        <w:jc w:val="left"/>
        <w:outlineLvl w:val="2"/>
      </w:pPr>
      <w:bookmarkStart w:name="heading_12" w:id="12"/>
      <w:r>
        <w:rPr>
          <w:rFonts w:eastAsia="等线" w:ascii="Arial" w:cs="Arial" w:hAnsi="Arial"/>
          <w:color w:val="3370ff"/>
          <w:sz w:val="30"/>
        </w:rPr>
        <w:t xml:space="preserve">5.2.5 </w:t>
      </w:r>
      <w:r>
        <w:rPr>
          <w:rFonts w:eastAsia="等线" w:ascii="Arial" w:cs="Arial" w:hAnsi="Arial"/>
          <w:b w:val="true"/>
          <w:sz w:val="30"/>
        </w:rPr>
        <w:t>流程说明（基于L3关键活动）</w:t>
      </w:r>
      <w:bookmarkEnd w:id="12"/>
    </w:p>
    <w:p>
      <w:pPr>
        <w:spacing w:before="120" w:after="120" w:line="288" w:lineRule="auto"/>
        <w:ind w:left="0"/>
        <w:jc w:val="left"/>
      </w:pP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5"/>
        <w:gridCol w:w="795"/>
        <w:gridCol w:w="525"/>
        <w:gridCol w:w="1350"/>
        <w:gridCol w:w="495"/>
        <w:gridCol w:w="495"/>
        <w:gridCol w:w="900"/>
        <w:gridCol w:w="495"/>
        <w:gridCol w:w="495"/>
        <w:gridCol w:w="990"/>
        <w:gridCol w:w="495"/>
        <w:gridCol w:w="495"/>
        <w:gridCol w:w="495"/>
      </w:tblGrid>
      <w:tr>
        <w:tc>
          <w:tcPr>
            <w:tcW w:w="2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编号</w:t>
            </w:r>
          </w:p>
        </w:tc>
        <w:tc>
          <w:tcPr>
            <w:tcW w:w="79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活动/子流程</w:t>
            </w:r>
          </w:p>
        </w:tc>
        <w:tc>
          <w:tcPr>
            <w:tcW w:w="5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执行部门</w:t>
            </w:r>
          </w:p>
        </w:tc>
        <w:tc>
          <w:tcPr>
            <w:tcW w:w="13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流程说明</w:t>
            </w:r>
          </w:p>
        </w:tc>
        <w:tc>
          <w:tcPr>
            <w:tcW w:w="49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是否有KCP/KDP</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输入标准</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输出标准</w:t>
            </w:r>
          </w:p>
          <w:p>
            <w:pPr>
              <w:spacing w:before="120" w:after="120" w:line="288" w:lineRule="auto"/>
              <w:ind w:left="0"/>
              <w:jc w:val="left"/>
            </w:pPr>
            <w:r>
              <w:rPr>
                <w:rFonts w:eastAsia="等线" w:ascii="Arial" w:cs="Arial" w:hAnsi="Arial"/>
                <w:sz w:val="22"/>
              </w:rPr>
              <w:t>（良品条件）</w:t>
            </w:r>
          </w:p>
        </w:tc>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活动难点/关键点说明</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业务变化点说明（与之前的主要变化点）</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工作模板</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001</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立项项目启动会</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项目经理/技术负责人/客户关系负责人/客户体验负责人</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商机审批通过进入漏斗的立项商机，首要工作是开立项项目启动会。</w:t>
            </w:r>
          </w:p>
          <w:p>
            <w:pPr>
              <w:spacing w:before="120" w:after="120" w:line="288" w:lineRule="auto"/>
              <w:ind w:left="0"/>
              <w:jc w:val="left"/>
            </w:pPr>
            <w:r>
              <w:rPr>
                <w:rFonts w:eastAsia="等线" w:ascii="Arial" w:cs="Arial" w:hAnsi="Arial"/>
                <w:sz w:val="22"/>
              </w:rPr>
              <w:t>1.项目经理发起立项项目的启动会，建立立项项目飞书群组，根据项目的不同分级，邀约项目组成员进群，并同步项目MANT+P信息，保证项目组成员对项目信息一致性和准确性；</w:t>
            </w:r>
          </w:p>
          <w:p>
            <w:pPr>
              <w:spacing w:before="120" w:after="120" w:line="288" w:lineRule="auto"/>
              <w:ind w:left="0"/>
              <w:jc w:val="left"/>
            </w:pPr>
            <w:r>
              <w:rPr>
                <w:rFonts w:eastAsia="等线" w:ascii="Arial" w:cs="Arial" w:hAnsi="Arial"/>
                <w:sz w:val="22"/>
              </w:rPr>
              <w:t>2.项目经理根据项目采购阶段，明确项目目标，并完成项目组成员分工；</w:t>
            </w:r>
          </w:p>
          <w:p>
            <w:pPr>
              <w:spacing w:before="120" w:after="120" w:line="288" w:lineRule="auto"/>
              <w:ind w:left="0"/>
              <w:jc w:val="left"/>
            </w:pPr>
            <w:r>
              <w:rPr>
                <w:rFonts w:eastAsia="等线" w:ascii="Arial" w:cs="Arial" w:hAnsi="Arial"/>
                <w:sz w:val="22"/>
              </w:rPr>
              <w:t>3.技术负责人梳理需求及客户痛点并与会同步；</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《立项评审决策表》</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下一步行动计划</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降龙十八掌-大项目推进策略</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项目立项分析会模板</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002</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分析客户需求及竞争态势匹配我司USP</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技术负责人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1.技术负责人根据MANT+P信息，对客户需求先要有一个基本了解；</w:t>
            </w:r>
          </w:p>
          <w:p>
            <w:pPr>
              <w:spacing w:before="120" w:after="120" w:line="288" w:lineRule="auto"/>
              <w:ind w:left="0"/>
              <w:jc w:val="left"/>
            </w:pPr>
            <w:r>
              <w:rPr>
                <w:rFonts w:eastAsia="等线" w:ascii="Arial" w:cs="Arial" w:hAnsi="Arial"/>
                <w:sz w:val="22"/>
              </w:rPr>
              <w:t>2.技术负责人与客户/渠道等进行需求沟通，理清期望、需求，动机以及“人机料法环”，并判定客户需求是否有倾向；</w:t>
            </w:r>
          </w:p>
          <w:p>
            <w:pPr>
              <w:spacing w:before="120" w:after="120" w:line="288" w:lineRule="auto"/>
              <w:ind w:left="0"/>
              <w:jc w:val="left"/>
            </w:pPr>
            <w:r>
              <w:rPr>
                <w:rFonts w:eastAsia="等线" w:ascii="Arial" w:cs="Arial" w:hAnsi="Arial"/>
                <w:sz w:val="22"/>
              </w:rPr>
              <w:t>3.技术负责人根据需求分析结论，逐一匹配我司产品、方案、服务等价值点，初步确定该项目我司的USP；</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1.MANT+P信息；</w:t>
            </w:r>
          </w:p>
          <w:p>
            <w:pPr>
              <w:spacing w:before="120" w:after="120" w:line="288" w:lineRule="auto"/>
              <w:ind w:left="0"/>
              <w:jc w:val="left"/>
            </w:pPr>
            <w:r>
              <w:rPr>
                <w:rFonts w:eastAsia="等线" w:ascii="Arial" w:cs="Arial" w:hAnsi="Arial"/>
                <w:sz w:val="22"/>
              </w:rPr>
              <w:t>2.与客户交流，获取需求。</w:t>
            </w:r>
          </w:p>
          <w:p>
            <w:pPr>
              <w:spacing w:before="120" w:after="120" w:line="288" w:lineRule="auto"/>
              <w:ind w:left="0"/>
              <w:jc w:val="left"/>
            </w:pPr>
            <w:r>
              <w:rPr>
                <w:rFonts w:eastAsia="等线" w:ascii="Arial" w:cs="Arial" w:hAnsi="Arial"/>
                <w:sz w:val="22"/>
              </w:rPr>
              <w:t>3.产品与解决方案的独特卖点；</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1.MANT信息清楚、完整；</w:t>
            </w:r>
          </w:p>
          <w:p>
            <w:pPr>
              <w:spacing w:before="120" w:after="120" w:line="288" w:lineRule="auto"/>
              <w:ind w:left="0"/>
              <w:jc w:val="left"/>
            </w:pPr>
            <w:r>
              <w:rPr>
                <w:rFonts w:eastAsia="等线" w:ascii="Arial" w:cs="Arial" w:hAnsi="Arial"/>
                <w:sz w:val="22"/>
              </w:rPr>
              <w:t>2.“人机料法环”信息完整；</w:t>
            </w:r>
          </w:p>
          <w:p>
            <w:pPr>
              <w:spacing w:before="120" w:after="120" w:line="288" w:lineRule="auto"/>
              <w:ind w:left="0"/>
              <w:jc w:val="left"/>
            </w:pPr>
            <w:r>
              <w:rPr>
                <w:rFonts w:eastAsia="等线" w:ascii="Arial" w:cs="Arial" w:hAnsi="Arial"/>
                <w:sz w:val="22"/>
              </w:rPr>
              <w:t>3.分析需求是否有倾向</w:t>
            </w:r>
          </w:p>
          <w:p>
            <w:pPr>
              <w:spacing w:before="120" w:after="120" w:line="288" w:lineRule="auto"/>
              <w:ind w:left="0"/>
              <w:jc w:val="left"/>
            </w:pPr>
            <w:r>
              <w:rPr>
                <w:rFonts w:eastAsia="等线" w:ascii="Arial" w:cs="Arial" w:hAnsi="Arial"/>
                <w:sz w:val="22"/>
              </w:rPr>
              <w:t>4.需求与产品独特卖点相匹配；</w:t>
            </w:r>
          </w:p>
          <w:p>
            <w:pPr>
              <w:spacing w:before="120" w:after="120" w:line="288" w:lineRule="auto"/>
              <w:ind w:left="0"/>
              <w:jc w:val="left"/>
            </w:pPr>
            <w:r>
              <w:rPr>
                <w:rFonts w:eastAsia="等线" w:ascii="Arial" w:cs="Arial" w:hAnsi="Arial"/>
                <w:sz w:val="22"/>
              </w:rPr>
              <w:t>5.独特卖点对应决策圈需求越高越好</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《客户需求与我司产品、方案、服务等USP匹配清单》</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客户需求尽可能的是客户组织需求、项目决策人的需求。</w:t>
            </w:r>
          </w:p>
          <w:p>
            <w:pPr>
              <w:spacing w:before="120" w:after="120" w:line="288" w:lineRule="auto"/>
              <w:ind w:left="0"/>
              <w:jc w:val="left"/>
            </w:pPr>
            <w:r>
              <w:rPr>
                <w:rFonts w:eastAsia="等线" w:ascii="Arial" w:cs="Arial" w:hAnsi="Arial"/>
                <w:sz w:val="22"/>
              </w:rPr>
              <w:t>USP来源于多维度：产品、方案、服务、影响力等；</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1.《客户需求与我司产品、方案、服务等USP匹配清单》是否与项目决策圈的需求相匹配</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hyperlink r:id="rId9">
              <w:r>
                <w:rPr>
                  <w:rFonts w:eastAsia="等线" w:ascii="Arial" w:cs="Arial" w:hAnsi="Arial"/>
                  <w:color w:val="3370ff"/>
                  <w:sz w:val="22"/>
                </w:rPr>
                <w:t>岗位工作标准化-EBG售前工程师(汇总版) -20240612</w:t>
              </w:r>
            </w:hyperlink>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003</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拿USP跟客户决策人逐一沟通</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技术负责人/客户关系负责人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1.客户关系负责人邀约客户关键人进行技术需求沟通；</w:t>
            </w:r>
          </w:p>
          <w:p>
            <w:pPr>
              <w:spacing w:before="120" w:after="120" w:line="288" w:lineRule="auto"/>
              <w:ind w:left="0"/>
              <w:jc w:val="left"/>
            </w:pPr>
            <w:r>
              <w:rPr>
                <w:rFonts w:eastAsia="等线" w:ascii="Arial" w:cs="Arial" w:hAnsi="Arial"/>
                <w:sz w:val="22"/>
              </w:rPr>
              <w:t>2.技术负责人拿着《客户需求与我司产品、方案、服务等USP匹配清单》与客户决策人逐一沟通确认哪些USP是被认可的，为什么，以及哪些不认可的，为什么；</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1.《客户需求与我司产品、方案、服务等USP匹配清单》；</w:t>
            </w:r>
          </w:p>
          <w:p>
            <w:pPr>
              <w:spacing w:before="120" w:after="120" w:line="288" w:lineRule="auto"/>
              <w:ind w:left="0"/>
              <w:jc w:val="left"/>
            </w:pPr>
            <w:r>
              <w:rPr>
                <w:rFonts w:eastAsia="等线" w:ascii="Arial" w:cs="Arial" w:hAnsi="Arial"/>
                <w:sz w:val="22"/>
              </w:rPr>
              <w:t>2.获取到客户决策人的联系方式；</w:t>
            </w:r>
          </w:p>
          <w:p>
            <w:pPr>
              <w:spacing w:before="120" w:after="120" w:line="288" w:lineRule="auto"/>
              <w:ind w:left="0"/>
              <w:jc w:val="left"/>
            </w:pPr>
            <w:r>
              <w:rPr>
                <w:rFonts w:eastAsia="等线" w:ascii="Arial" w:cs="Arial" w:hAnsi="Arial"/>
                <w:sz w:val="22"/>
              </w:rPr>
              <w:t>3.具备基本的客情关系，能够有效沟通；</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1.通过与客户决策人沟通确定我司匹配的USP；</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1.对于C类客户提出的挑战类需求，如何提高价值重构成功率；</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004</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项目分析会-制定价值主张</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项目经理/技术负责人/客户关系负责人/客户体验负责人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1.技术负责人同步客户决策人认可的我司USP；</w:t>
            </w:r>
          </w:p>
          <w:p>
            <w:pPr>
              <w:spacing w:before="120" w:after="120" w:line="288" w:lineRule="auto"/>
              <w:ind w:left="0"/>
              <w:jc w:val="left"/>
            </w:pPr>
            <w:r>
              <w:rPr>
                <w:rFonts w:eastAsia="等线" w:ascii="Arial" w:cs="Arial" w:hAnsi="Arial"/>
                <w:sz w:val="22"/>
              </w:rPr>
              <w:t>2.技术负责人根据USP提出《价值主张策略》；</w:t>
            </w:r>
          </w:p>
          <w:p>
            <w:pPr>
              <w:spacing w:before="120" w:after="120" w:line="288" w:lineRule="auto"/>
              <w:ind w:left="0"/>
              <w:jc w:val="left"/>
            </w:pPr>
            <w:r>
              <w:rPr>
                <w:rFonts w:eastAsia="等线" w:ascii="Arial" w:cs="Arial" w:hAnsi="Arial"/>
                <w:sz w:val="22"/>
              </w:rPr>
              <w:t>3.项目组成员对《价值主张策略》给与反馈意见并最终确定。</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1.售前根据客户决策人匹配的USP清单，整理输出我司的UBV，确定初稿《价值主张策略》；</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1.项目组讨论确定《价值主张策略》；</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1.价值主张是清晰的，可执行的，无风险的。</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1.面向客户决策者和主要竞争对手制定有效的价值主张。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降龙十八掌-大项目推进策略</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“大项目分析会模板”</w:t>
            </w:r>
          </w:p>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005</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确定方案制作思路并制作技术方案</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技术负责人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1.技术负责人根据《价值主张策略》，输出第一稿《技术方案》；</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1.《价值主张策略》；</w:t>
            </w:r>
          </w:p>
          <w:p>
            <w:pPr>
              <w:spacing w:before="120" w:after="120" w:line="288" w:lineRule="auto"/>
              <w:ind w:left="0"/>
              <w:jc w:val="left"/>
            </w:pPr>
            <w:r>
              <w:rPr>
                <w:rFonts w:eastAsia="等线" w:ascii="Arial" w:cs="Arial" w:hAnsi="Arial"/>
                <w:sz w:val="22"/>
              </w:rPr>
              <w:t>2.解决方案模板</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1.初稿《技术方案》；</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1.关键点是技术路线的比选及量化方案对客户的价值（定性、定量）</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rPr>
                <w:t>岗位工作标准化-EBG售前工程师(汇总版) -20240612</w:t>
              </w:r>
            </w:hyperlink>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006</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实施交付可行性评估</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客户体验负责人</w:t>
            </w:r>
          </w:p>
          <w:p>
            <w:pPr>
              <w:spacing w:before="120" w:after="120" w:line="288" w:lineRule="auto"/>
              <w:ind w:left="0"/>
              <w:jc w:val="left"/>
            </w:pP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1.客户体验部负责人对技术负责人提出的《技术方案》进行实施交付可行性评估，无风险给与通过，有风险的给出风险点及修订建议。</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1.《技术方案》</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1.给出评估建议；</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技术方案里没有交付风险</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1.未上市的新产品/方案，以及重大的AIGC项目高交付风险项目，需要产线及交付专家评估；</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007</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结合意见调整修改并最终确认解决方案</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技术负责人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1.《技术方案》实施交付可行性评估存在风险的，技术负责人根据客户体验负责人提出的建议进行调整并最终确定解决方案；</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1.实施交付可行性评估建议</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1.最终确认版《技术方案》；</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008</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解决方案评审（K</w:t>
            </w:r>
            <w:r>
              <w:rPr>
                <w:rFonts w:eastAsia="等线" w:ascii="Arial" w:cs="Arial" w:hAnsi="Arial"/>
                <w:sz w:val="22"/>
              </w:rPr>
              <w:t>D</w:t>
            </w:r>
            <w:r>
              <w:rPr>
                <w:rFonts w:eastAsia="等线" w:ascii="Arial" w:cs="Arial" w:hAnsi="Arial"/>
                <w:sz w:val="22"/>
              </w:rPr>
              <w:t>P）</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评委会</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1.技术负责人汇报《技术方案》；</w:t>
            </w:r>
          </w:p>
          <w:p>
            <w:pPr>
              <w:spacing w:before="120" w:after="120" w:line="288" w:lineRule="auto"/>
              <w:ind w:left="0"/>
              <w:jc w:val="left"/>
            </w:pPr>
            <w:r>
              <w:rPr>
                <w:rFonts w:eastAsia="等线" w:ascii="Arial" w:cs="Arial" w:hAnsi="Arial"/>
                <w:sz w:val="22"/>
              </w:rPr>
              <w:t>2.评委会对《技术方案》按照评审表进行反馈；</w:t>
            </w:r>
          </w:p>
          <w:p>
            <w:pPr>
              <w:spacing w:before="120" w:after="120" w:line="288" w:lineRule="auto"/>
              <w:ind w:left="0"/>
              <w:jc w:val="left"/>
            </w:pPr>
            <w:r>
              <w:rPr>
                <w:rFonts w:eastAsia="等线" w:ascii="Arial" w:cs="Arial" w:hAnsi="Arial"/>
                <w:sz w:val="22"/>
              </w:rPr>
              <w:t>3.同意的，进行正式技术；不同意的，回到“流程005”；</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1.《技术方案》</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完整的解决方案</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1.是否通过。</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增加完整的评审决策意见</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参见5.4 KCP、KDP指导书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《客户解决方案评审》</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009</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正式技术交流</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技术负责人/客户关系负责人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1.客户关系负责人邀请并确认客户决策人做正式的技术交流的时间、地点及注意事项；</w:t>
            </w:r>
          </w:p>
          <w:p>
            <w:pPr>
              <w:spacing w:before="120" w:after="120" w:line="288" w:lineRule="auto"/>
              <w:ind w:left="0"/>
              <w:jc w:val="left"/>
            </w:pPr>
            <w:r>
              <w:rPr>
                <w:rFonts w:eastAsia="等线" w:ascii="Arial" w:cs="Arial" w:hAnsi="Arial"/>
                <w:sz w:val="22"/>
              </w:rPr>
              <w:t>2.客户关系负责人和技术负责人需参照《高质量技术交流》开展；</w:t>
            </w:r>
          </w:p>
          <w:p>
            <w:pPr>
              <w:spacing w:before="120" w:after="120" w:line="288" w:lineRule="auto"/>
              <w:ind w:left="0"/>
              <w:jc w:val="left"/>
            </w:pPr>
            <w:r>
              <w:rPr>
                <w:rFonts w:eastAsia="等线" w:ascii="Arial" w:cs="Arial" w:hAnsi="Arial"/>
                <w:sz w:val="22"/>
              </w:rPr>
              <w:t>3.正式技术交流形式多样，包括不限于：正式技术交流、体验中心/总部参观、样板参观、技术沙龙、POC等形式；</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1.邀请到客户决策人；</w:t>
            </w:r>
          </w:p>
          <w:p>
            <w:pPr>
              <w:spacing w:before="120" w:after="120" w:line="288" w:lineRule="auto"/>
              <w:ind w:left="0"/>
              <w:jc w:val="left"/>
            </w:pPr>
            <w:r>
              <w:rPr>
                <w:rFonts w:eastAsia="等线" w:ascii="Arial" w:cs="Arial" w:hAnsi="Arial"/>
                <w:sz w:val="22"/>
              </w:rPr>
              <w:t>2.《技术方案》</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正式技术交流</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参考《高质量技术交流》规范</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重客高质量技术交流工具集</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010</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进行测试引导并组织测试</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技术负责人/客户关系负责人/客户体验负责人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1.有部分项目，客户要求提供poc现场测试的则进入该流程；</w:t>
            </w:r>
          </w:p>
          <w:p>
            <w:pPr>
              <w:spacing w:before="120" w:after="120" w:line="288" w:lineRule="auto"/>
              <w:ind w:left="0"/>
              <w:jc w:val="left"/>
            </w:pPr>
            <w:r>
              <w:rPr>
                <w:rFonts w:eastAsia="等线" w:ascii="Arial" w:cs="Arial" w:hAnsi="Arial"/>
                <w:sz w:val="22"/>
              </w:rPr>
              <w:t>2.技术负责人根据客户需求及我司价值主张策略，形成优势的测试指标条目，并与客户决策人进行沟通确认，争取按照锐捷提交的测试条目开展POC；</w:t>
            </w:r>
          </w:p>
          <w:p>
            <w:pPr>
              <w:spacing w:before="120" w:after="120" w:line="288" w:lineRule="auto"/>
              <w:ind w:left="0"/>
              <w:jc w:val="left"/>
            </w:pPr>
            <w:r>
              <w:rPr>
                <w:rFonts w:eastAsia="等线" w:ascii="Arial" w:cs="Arial" w:hAnsi="Arial"/>
                <w:sz w:val="22"/>
              </w:rPr>
              <w:t>3.客户关系负责人，负责内部与外部人员的沟通，包括不限于：poc测试前中后与客户沟通、内部poc设备资源的协调；</w:t>
            </w:r>
          </w:p>
          <w:p>
            <w:pPr>
              <w:spacing w:before="120" w:after="120" w:line="288" w:lineRule="auto"/>
              <w:ind w:left="0"/>
              <w:jc w:val="left"/>
            </w:pPr>
            <w:r>
              <w:rPr>
                <w:rFonts w:eastAsia="等线" w:ascii="Arial" w:cs="Arial" w:hAnsi="Arial"/>
                <w:sz w:val="22"/>
              </w:rPr>
              <w:t>4.客户体验负责人，对技术负责人提出的测试方案进行评审，对测试条目</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1.《技术方案》；</w:t>
            </w:r>
          </w:p>
          <w:p>
            <w:pPr>
              <w:spacing w:before="120" w:after="120" w:line="288" w:lineRule="auto"/>
              <w:ind w:left="0"/>
              <w:jc w:val="left"/>
            </w:pPr>
            <w:r>
              <w:rPr>
                <w:rFonts w:eastAsia="等线" w:ascii="Arial" w:cs="Arial" w:hAnsi="Arial"/>
                <w:sz w:val="22"/>
              </w:rPr>
              <w:t>2.竞争分析；</w:t>
            </w:r>
          </w:p>
          <w:p>
            <w:pPr>
              <w:spacing w:before="120" w:after="120" w:line="288" w:lineRule="auto"/>
              <w:ind w:left="0"/>
              <w:jc w:val="left"/>
            </w:pPr>
            <w:r>
              <w:rPr>
                <w:rFonts w:eastAsia="等线" w:ascii="Arial" w:cs="Arial" w:hAnsi="Arial"/>
                <w:sz w:val="22"/>
              </w:rPr>
              <w:t>3.《测试方案》</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POC测试完成</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POC测试前、中、后，售前、售后、产线等如何高效协同。</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011</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植入我司标底</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客户关系负责人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1.技术负责人和客户关系负责人共同确定项目控标策略，技术负责人完成标底参数的制定，客户关键负责人完成评分标准的制定；</w:t>
            </w:r>
          </w:p>
          <w:p>
            <w:pPr>
              <w:spacing w:before="120" w:after="120" w:line="288" w:lineRule="auto"/>
              <w:ind w:left="0"/>
              <w:jc w:val="left"/>
            </w:pPr>
            <w:r>
              <w:rPr>
                <w:rFonts w:eastAsia="等线" w:ascii="Arial" w:cs="Arial" w:hAnsi="Arial"/>
                <w:sz w:val="22"/>
              </w:rPr>
              <w:t>2.客户关系负责人与客户关键人沟通，将我司优势标底参数和评分指标植入预发布招标文件中；</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1.商务评分及各条产品线的招标参数模板；</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1.控标参数和评分指标植入到预招标文件中</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在控标植入我司优势指标的同时，既有效果，又能降低客户被质疑带来的压力</w:t>
            </w: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012</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获取预发布招标文件</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客户关系负责人</w:t>
            </w:r>
            <w:r>
              <w:rPr>
                <w:rFonts w:eastAsia="等线" w:ascii="Arial" w:cs="Arial" w:hAnsi="Arial"/>
                <w:sz w:val="22"/>
              </w:rPr>
              <w:t>/技术负责人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1.客户关系负责人通过客户、渠道等多种途径获取预发布招标文件；</w:t>
            </w:r>
          </w:p>
          <w:p>
            <w:pPr>
              <w:spacing w:before="120" w:after="120" w:line="288" w:lineRule="auto"/>
              <w:ind w:left="0"/>
              <w:jc w:val="left"/>
            </w:pPr>
            <w:r>
              <w:rPr>
                <w:rFonts w:eastAsia="等线" w:ascii="Arial" w:cs="Arial" w:hAnsi="Arial"/>
                <w:sz w:val="22"/>
              </w:rPr>
              <w:t>2.技术负责人对预发布招标文件进行分析，包括技术分析、商务分析和价格分析。</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1.获取预发布招标文件</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获取的预发布招标文件是最新的、最完整的</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1.预发布招标文件的分析结论</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分析结论全面，不限于：价格策略、商务策略和竞争分析。</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013</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项目分析会制定招标策略（价格策略，商务策略，分析标书并制作竞争分析）</w:t>
            </w:r>
          </w:p>
          <w:p>
            <w:pPr>
              <w:spacing w:before="120" w:after="120" w:line="288" w:lineRule="auto"/>
              <w:ind w:left="0"/>
              <w:jc w:val="left"/>
            </w:pP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项目经理/技术负责人/客户关系负责人/客户体验负责人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1.项目经理根据项目采购阶段，客户内部形成预招标文件时，发起2次项目分析会，邀请项目组成员进行招标策略分析；</w:t>
            </w:r>
          </w:p>
          <w:p>
            <w:pPr>
              <w:spacing w:before="120" w:after="120" w:line="288" w:lineRule="auto"/>
              <w:ind w:left="0"/>
              <w:jc w:val="left"/>
            </w:pPr>
            <w:r>
              <w:rPr>
                <w:rFonts w:eastAsia="等线" w:ascii="Arial" w:cs="Arial" w:hAnsi="Arial"/>
                <w:sz w:val="22"/>
              </w:rPr>
              <w:t>2.技术负责人汇报预发布招标文件的分析，包括技术分析、商务分析和价格分析；</w:t>
            </w:r>
          </w:p>
          <w:p>
            <w:pPr>
              <w:spacing w:before="120" w:after="120" w:line="288" w:lineRule="auto"/>
              <w:ind w:left="0"/>
              <w:jc w:val="left"/>
            </w:pPr>
            <w:r>
              <w:rPr>
                <w:rFonts w:eastAsia="等线" w:ascii="Arial" w:cs="Arial" w:hAnsi="Arial"/>
                <w:sz w:val="22"/>
              </w:rPr>
              <w:t>3.会议需要根据竞争分析结论，确定价格策略及商务策略；</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招标分析</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能够提前获取到预发布的招标文件</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确定招标策略：价格策略、商务策略和竞争分析。</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项目分析会共识的招标策略</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014</w:t>
            </w:r>
          </w:p>
        </w:tc>
        <w:tc>
          <w:tcPr>
            <w:tcW w:w="7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执行招标策略</w:t>
            </w:r>
          </w:p>
        </w:tc>
        <w:tc>
          <w:tcPr>
            <w:tcW w:w="52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技术负责人/客户关系负责人</w:t>
            </w:r>
          </w:p>
        </w:tc>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1.技术负责人将确定的招标策略更新到招标文件中；</w:t>
            </w:r>
          </w:p>
          <w:p>
            <w:pPr>
              <w:spacing w:before="120" w:after="120" w:line="288" w:lineRule="auto"/>
              <w:ind w:left="0"/>
              <w:jc w:val="left"/>
            </w:pPr>
            <w:r>
              <w:rPr>
                <w:rFonts w:eastAsia="等线" w:ascii="Arial" w:cs="Arial" w:hAnsi="Arial"/>
                <w:sz w:val="22"/>
              </w:rPr>
              <w:t>2.客户关系负责人负责与客户决策人、背后枪手/渠道沟通确保植入；</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确定招标策略</w:t>
            </w:r>
          </w:p>
        </w:tc>
        <w:tc>
          <w:tcPr>
            <w:tcW w:w="9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经过项目分析会制定的招标策略</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招标文件</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商务、技术和价格倾向于我司的</w:t>
            </w:r>
          </w:p>
        </w:tc>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无</w:t>
            </w:r>
          </w:p>
        </w:tc>
      </w:tr>
    </w:tbl>
    <w:p>
      <w:pPr>
        <w:spacing w:before="120" w:after="120" w:line="288" w:lineRule="auto"/>
        <w:ind w:left="0"/>
        <w:jc w:val="left"/>
      </w:pPr>
    </w:p>
    <w:p>
      <w:pPr>
        <w:pStyle w:val="3"/>
        <w:spacing w:before="300" w:after="120" w:line="288" w:lineRule="auto"/>
        <w:ind w:left="0"/>
        <w:jc w:val="left"/>
        <w:outlineLvl w:val="2"/>
      </w:pPr>
      <w:bookmarkStart w:name="heading_13" w:id="13"/>
      <w:r>
        <w:rPr>
          <w:rFonts w:eastAsia="等线" w:ascii="Arial" w:cs="Arial" w:hAnsi="Arial"/>
          <w:b w:val="true"/>
          <w:sz w:val="30"/>
        </w:rPr>
        <w:t>5.3.6 主要岗位/角色活动说明</w:t>
      </w:r>
      <w:bookmarkEnd w:id="13"/>
    </w:p>
    <w:p>
      <w:pPr>
        <w:pStyle w:val="4"/>
        <w:spacing w:before="260" w:after="120" w:line="288" w:lineRule="auto"/>
        <w:ind w:left="0"/>
        <w:jc w:val="left"/>
        <w:outlineLvl w:val="3"/>
      </w:pPr>
      <w:bookmarkStart w:name="heading_14" w:id="14"/>
      <w:r>
        <w:rPr>
          <w:rFonts w:eastAsia="等线" w:ascii="Arial" w:cs="Arial" w:hAnsi="Arial"/>
          <w:b w:val="true"/>
          <w:sz w:val="28"/>
        </w:rPr>
        <w:t xml:space="preserve">5.3.6.1 </w:t>
      </w:r>
      <w:r>
        <w:rPr>
          <w:rFonts w:eastAsia="等线" w:ascii="Arial" w:cs="Arial" w:hAnsi="Arial"/>
          <w:b w:val="true"/>
          <w:sz w:val="28"/>
        </w:rPr>
        <w:t>项目经理</w:t>
      </w:r>
      <w:r>
        <w:rPr>
          <w:rFonts w:eastAsia="等线" w:ascii="Arial" w:cs="Arial" w:hAnsi="Arial"/>
          <w:b w:val="true"/>
          <w:sz w:val="28"/>
        </w:rPr>
        <w:t>活动说明</w:t>
      </w:r>
      <w:bookmarkEnd w:id="14"/>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12" o:title=""/>
          </v:shape>
          <o:OLEObject DrawAspect="Icon" ObjectID="_1718471219" ProgID="Excel.Sheet.12" ShapeID="_x0000_i1025" Type="Embed" r:id="rId11"/>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5" w:id="15"/>
      <w:r>
        <w:rPr>
          <w:rFonts w:eastAsia="等线" w:ascii="Arial" w:cs="Arial" w:hAnsi="Arial"/>
          <w:b w:val="true"/>
          <w:sz w:val="28"/>
        </w:rPr>
        <w:t xml:space="preserve">5.3.6.2 </w:t>
      </w:r>
      <w:r>
        <w:rPr>
          <w:rFonts w:eastAsia="等线" w:ascii="Arial" w:cs="Arial" w:hAnsi="Arial"/>
          <w:b w:val="true"/>
          <w:sz w:val="28"/>
        </w:rPr>
        <w:t>技术负责人</w:t>
      </w:r>
      <w:r>
        <w:rPr>
          <w:rFonts w:eastAsia="等线" w:ascii="Arial" w:cs="Arial" w:hAnsi="Arial"/>
          <w:b w:val="true"/>
          <w:sz w:val="28"/>
        </w:rPr>
        <w:t>活动说明</w:t>
      </w:r>
      <w:bookmarkEnd w:id="15"/>
    </w:p>
    <w:p>
      <w:pPr>
        <w:spacing w:before="120" w:after="120" w:line="288" w:lineRule="auto"/>
        <w:ind w:left="0"/>
      </w:pPr>
      <w:r>
        <w:object>
          <v:shape id="_x0000_i1026" style="width:414pt;height:197pt;mso-width-percent:0;mso-height-percent:0;mso-width-percent:0;mso-height-percent:0" type="#_x0000_t75" o:ole="">
            <v:imagedata r:id="rId14" o:title=""/>
          </v:shape>
          <o:OLEObject DrawAspect="Icon" ObjectID="_1718471220" ProgID="Excel.Sheet.12" ShapeID="_x0000_i1026" Type="Embed" r:id="rId13"/>
        </w:object>
      </w:r>
    </w:p>
    <w:p>
      <w:pPr>
        <w:spacing w:after="120"/>
        <w:ind w:left="0"/>
        <w:jc w:val="center"/>
      </w:pPr>
      <w:r>
        <w:rPr>
          <w:rFonts w:eastAsia="等线" w:ascii="Arial" w:cs="Arial" w:hAnsi="Arial"/>
          <w:b w:val="true"/>
          <w:sz w:val="22"/>
        </w:rPr>
        <w:t>点击图片可查看完整电子表格</w:t>
      </w:r>
    </w:p>
    <w:p>
      <w:pPr>
        <w:spacing w:before="120" w:after="120" w:line="288" w:lineRule="auto"/>
        <w:ind w:left="0"/>
        <w:jc w:val="left"/>
      </w:pPr>
    </w:p>
    <w:p>
      <w:pPr>
        <w:pStyle w:val="4"/>
        <w:spacing w:before="260" w:after="120" w:line="288" w:lineRule="auto"/>
        <w:ind w:left="0"/>
        <w:jc w:val="left"/>
        <w:outlineLvl w:val="3"/>
      </w:pPr>
      <w:bookmarkStart w:name="heading_16" w:id="16"/>
      <w:r>
        <w:rPr>
          <w:rFonts w:eastAsia="等线" w:ascii="Arial" w:cs="Arial" w:hAnsi="Arial"/>
          <w:b w:val="true"/>
          <w:sz w:val="28"/>
        </w:rPr>
        <w:t xml:space="preserve">5.3.6.3 </w:t>
      </w:r>
      <w:r>
        <w:rPr>
          <w:rFonts w:eastAsia="等线" w:ascii="Arial" w:cs="Arial" w:hAnsi="Arial"/>
          <w:b w:val="true"/>
          <w:sz w:val="28"/>
        </w:rPr>
        <w:t>客户关系负责人</w:t>
      </w:r>
      <w:r>
        <w:rPr>
          <w:rFonts w:eastAsia="等线" w:ascii="Arial" w:cs="Arial" w:hAnsi="Arial"/>
          <w:b w:val="true"/>
          <w:sz w:val="28"/>
        </w:rPr>
        <w:t>活动说明</w:t>
      </w:r>
      <w:bookmarkEnd w:id="16"/>
    </w:p>
    <w:p>
      <w:pPr>
        <w:spacing w:before="120" w:after="120" w:line="288" w:lineRule="auto"/>
        <w:ind w:left="0"/>
      </w:pPr>
      <w:r>
        <w:object>
          <v:shape id="_x0000_i1027" style="width:414pt;height:197pt;mso-width-percent:0;mso-height-percent:0;mso-width-percent:0;mso-height-percent:0" type="#_x0000_t75" o:ole="">
            <v:imagedata r:id="rId16" o:title=""/>
          </v:shape>
          <o:OLEObject DrawAspect="Icon" ObjectID="_1718471221" ProgID="Excel.Sheet.12" ShapeID="_x0000_i1027" Type="Embed" r:id="rId15"/>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17" w:id="17"/>
      <w:r>
        <w:rPr>
          <w:rFonts w:eastAsia="等线" w:ascii="Arial" w:cs="Arial" w:hAnsi="Arial"/>
          <w:b w:val="true"/>
          <w:sz w:val="28"/>
        </w:rPr>
        <w:t>5.3.6.4客户体验负责人活动说明</w:t>
      </w:r>
      <w:bookmarkEnd w:id="17"/>
    </w:p>
    <w:p>
      <w:pPr>
        <w:spacing w:before="120" w:after="120" w:line="288" w:lineRule="auto"/>
        <w:ind w:left="0"/>
      </w:pPr>
      <w:r>
        <w:object>
          <v:shape id="_x0000_i1028" style="width:414pt;height:197pt;mso-width-percent:0;mso-height-percent:0;mso-width-percent:0;mso-height-percent:0" type="#_x0000_t75" o:ole="">
            <v:imagedata r:id="rId18" o:title=""/>
          </v:shape>
          <o:OLEObject DrawAspect="Icon" ObjectID="_1718471222" ProgID="Excel.Sheet.12" ShapeID="_x0000_i1028" Type="Embed" r:id="rId17"/>
        </w:object>
      </w:r>
    </w:p>
    <w:p>
      <w:pPr>
        <w:spacing w:after="120"/>
        <w:ind w:left="0"/>
        <w:jc w:val="center"/>
      </w:pPr>
      <w:r>
        <w:rPr>
          <w:rFonts w:eastAsia="等线" w:ascii="Arial" w:cs="Arial" w:hAnsi="Arial"/>
          <w:b w:val="true"/>
          <w:sz w:val="22"/>
        </w:rPr>
        <w:t>点击图片可查看完整电子表格</w:t>
      </w:r>
    </w:p>
    <w:p>
      <w:pPr>
        <w:pStyle w:val="2"/>
        <w:spacing w:before="320" w:after="120" w:line="288" w:lineRule="auto"/>
        <w:ind w:left="0"/>
        <w:jc w:val="left"/>
        <w:outlineLvl w:val="1"/>
      </w:pPr>
      <w:bookmarkStart w:name="heading_18" w:id="18"/>
      <w:r>
        <w:rPr>
          <w:rFonts w:eastAsia="等线" w:ascii="Arial" w:cs="Arial" w:hAnsi="Arial"/>
          <w:color w:val="3370ff"/>
          <w:sz w:val="32"/>
        </w:rPr>
        <w:t xml:space="preserve">5.3 </w:t>
      </w:r>
      <w:r>
        <w:rPr>
          <w:rFonts w:eastAsia="等线" w:ascii="Arial" w:cs="Arial" w:hAnsi="Arial"/>
          <w:b w:val="true"/>
          <w:sz w:val="32"/>
        </w:rPr>
        <w:t>KCP、KDP指导书</w:t>
      </w:r>
      <w:bookmarkEnd w:id="18"/>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45"/>
        <w:gridCol w:w="825"/>
        <w:gridCol w:w="3120"/>
        <w:gridCol w:w="1410"/>
        <w:gridCol w:w="1575"/>
        <w:gridCol w:w="420"/>
      </w:tblGrid>
      <w:tr>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312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KCP/KDP说明</w:t>
            </w:r>
          </w:p>
        </w:tc>
        <w:tc>
          <w:tcPr>
            <w:tcW w:w="141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KCP/KDP负责人</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指导书</w:t>
            </w:r>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备注</w:t>
            </w:r>
          </w:p>
        </w:tc>
      </w:tr>
      <w:tr>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M11.</w:t>
            </w:r>
            <w:r>
              <w:rPr>
                <w:rFonts w:eastAsia="等线" w:ascii="Arial" w:cs="Arial" w:hAnsi="Arial"/>
                <w:sz w:val="22"/>
              </w:rPr>
              <w:t>2</w:t>
            </w:r>
            <w:r>
              <w:rPr>
                <w:rFonts w:eastAsia="等线" w:ascii="Arial" w:cs="Arial" w:hAnsi="Arial"/>
                <w:sz w:val="22"/>
              </w:rPr>
              <w:t xml:space="preserve">.2 </w:t>
            </w:r>
            <w:r>
              <w:rPr>
                <w:rFonts w:eastAsia="等线" w:ascii="Arial" w:cs="Arial" w:hAnsi="Arial"/>
                <w:sz w:val="22"/>
              </w:rPr>
              <w:t>制定客户解决方案</w:t>
            </w:r>
          </w:p>
        </w:tc>
        <w:tc>
          <w:tcPr>
            <w:tcW w:w="82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客户解决方案评审</w:t>
            </w:r>
          </w:p>
          <w:p>
            <w:pPr>
              <w:spacing w:before="120" w:after="120" w:line="288" w:lineRule="auto"/>
              <w:ind w:left="0"/>
              <w:jc w:val="left"/>
            </w:pPr>
            <w:r>
              <w:rPr>
                <w:rFonts w:eastAsia="等线" w:ascii="Arial" w:cs="Arial" w:hAnsi="Arial"/>
                <w:sz w:val="22"/>
              </w:rPr>
              <w:t>（KDP）</w:t>
            </w:r>
          </w:p>
        </w:tc>
        <w:tc>
          <w:tcPr>
            <w:tcW w:w="31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评审要素：</w:t>
            </w:r>
          </w:p>
          <w:p>
            <w:pPr>
              <w:spacing w:before="120" w:after="120" w:line="288" w:lineRule="auto"/>
              <w:ind w:left="0"/>
              <w:jc w:val="left"/>
            </w:pPr>
            <w:r>
              <w:rPr>
                <w:rFonts w:eastAsia="等线" w:ascii="Arial" w:cs="Arial" w:hAnsi="Arial"/>
                <w:sz w:val="22"/>
              </w:rPr>
              <w:t>1、方案价值点清晰明确，每个功能能够支撑解决客户问题，满足客户需求；</w:t>
            </w:r>
          </w:p>
          <w:p>
            <w:pPr>
              <w:spacing w:before="120" w:after="120" w:line="288" w:lineRule="auto"/>
              <w:ind w:left="0"/>
              <w:jc w:val="left"/>
            </w:pPr>
            <w:r>
              <w:rPr>
                <w:rFonts w:eastAsia="等线" w:ascii="Arial" w:cs="Arial" w:hAnsi="Arial"/>
                <w:sz w:val="22"/>
              </w:rPr>
              <w:t>2、通过定性、定量的方式准确分析方案价值并进行升华；</w:t>
            </w:r>
          </w:p>
          <w:p>
            <w:pPr>
              <w:spacing w:before="120" w:after="120" w:line="288" w:lineRule="auto"/>
              <w:ind w:left="0"/>
              <w:jc w:val="left"/>
            </w:pPr>
            <w:r>
              <w:rPr>
                <w:rFonts w:eastAsia="等线" w:ascii="Arial" w:cs="Arial" w:hAnsi="Arial"/>
                <w:sz w:val="22"/>
              </w:rPr>
              <w:t>3、基于客户决策链不同角色价值认可策略及达成目的清晰；</w:t>
            </w:r>
          </w:p>
          <w:p>
            <w:pPr>
              <w:spacing w:before="120" w:after="120" w:line="288" w:lineRule="auto"/>
              <w:ind w:left="0"/>
              <w:jc w:val="left"/>
            </w:pPr>
            <w:r>
              <w:rPr>
                <w:rFonts w:eastAsia="等线" w:ascii="Arial" w:cs="Arial" w:hAnsi="Arial"/>
                <w:sz w:val="22"/>
              </w:rPr>
              <w:t>4、执行责任人及时间点明确，重点难度功能提前完成验证；</w:t>
            </w:r>
          </w:p>
          <w:p>
            <w:pPr>
              <w:spacing w:before="120" w:after="120" w:line="288" w:lineRule="auto"/>
              <w:ind w:left="0"/>
              <w:jc w:val="left"/>
            </w:pPr>
            <w:r>
              <w:rPr>
                <w:rFonts w:eastAsia="等线" w:ascii="Arial" w:cs="Arial" w:hAnsi="Arial"/>
                <w:sz w:val="22"/>
              </w:rPr>
              <w:t>5、解决方案交付实施标准和建议明确清晰，能够牵引客户有效关注实施质量和要求；</w:t>
            </w:r>
          </w:p>
          <w:p>
            <w:pPr>
              <w:spacing w:before="120" w:after="120" w:line="288" w:lineRule="auto"/>
              <w:ind w:left="0"/>
              <w:jc w:val="left"/>
            </w:pPr>
            <w:r>
              <w:rPr>
                <w:rFonts w:eastAsia="等线" w:ascii="Arial" w:cs="Arial" w:hAnsi="Arial"/>
                <w:sz w:val="22"/>
              </w:rPr>
              <w:t>6、有明确客户或场景案例能够证明解决方案价值；</w:t>
            </w:r>
          </w:p>
          <w:p>
            <w:pPr>
              <w:spacing w:before="120" w:after="120" w:line="288" w:lineRule="auto"/>
              <w:ind w:left="0"/>
              <w:jc w:val="left"/>
            </w:pPr>
            <w:r>
              <w:rPr>
                <w:rFonts w:eastAsia="等线" w:ascii="Arial" w:cs="Arial" w:hAnsi="Arial"/>
                <w:sz w:val="22"/>
              </w:rPr>
              <w:t>决策输出：</w:t>
            </w:r>
          </w:p>
          <w:p>
            <w:pPr>
              <w:spacing w:before="120" w:after="120" w:line="288" w:lineRule="auto"/>
              <w:ind w:left="0"/>
              <w:jc w:val="left"/>
            </w:pPr>
            <w:r>
              <w:rPr>
                <w:rFonts w:eastAsia="等线" w:ascii="Arial" w:cs="Arial" w:hAnsi="Arial"/>
                <w:sz w:val="22"/>
              </w:rPr>
              <w:t>客户端解决方案是否提交、汇报</w:t>
            </w:r>
          </w:p>
          <w:p>
            <w:pPr>
              <w:spacing w:before="120" w:after="120" w:line="288" w:lineRule="auto"/>
              <w:ind w:left="0"/>
              <w:jc w:val="left"/>
            </w:pPr>
            <w:r>
              <w:rPr>
                <w:rFonts w:eastAsia="等线" w:ascii="Arial" w:cs="Arial" w:hAnsi="Arial"/>
                <w:sz w:val="22"/>
              </w:rPr>
              <w:t>价值传递责任人分工</w:t>
            </w:r>
          </w:p>
          <w:p>
            <w:pPr>
              <w:spacing w:before="120" w:after="120" w:line="288" w:lineRule="auto"/>
              <w:ind w:left="0"/>
              <w:jc w:val="left"/>
            </w:pPr>
          </w:p>
        </w:tc>
        <w:tc>
          <w:tcPr>
            <w:tcW w:w="141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BG级：</w:t>
            </w:r>
            <w:r>
              <w:rPr>
                <w:rFonts w:eastAsia="等线" w:ascii="Arial" w:cs="Arial" w:hAnsi="Arial"/>
                <w:sz w:val="22"/>
              </w:rPr>
              <w:t>BG级：</w:t>
            </w:r>
          </w:p>
          <w:p>
            <w:pPr>
              <w:spacing w:before="120" w:after="120" w:line="288" w:lineRule="auto"/>
              <w:ind w:left="0"/>
              <w:jc w:val="left"/>
            </w:pPr>
            <w:r>
              <w:rPr>
                <w:rFonts w:eastAsia="等线" w:ascii="Arial" w:cs="Arial" w:hAnsi="Arial"/>
                <w:sz w:val="22"/>
              </w:rPr>
              <w:t>评审人：平台管理部总经理、系统总</w:t>
            </w:r>
            <w:r>
              <w:rPr>
                <w:rFonts w:eastAsia="等线" w:ascii="Arial" w:cs="Arial" w:hAnsi="Arial"/>
                <w:sz w:val="22"/>
              </w:rPr>
              <w:t>&amp;本部行业经理</w:t>
            </w:r>
            <w:r>
              <w:rPr>
                <w:rFonts w:eastAsia="等线" w:ascii="Arial" w:cs="Arial" w:hAnsi="Arial"/>
                <w:sz w:val="22"/>
              </w:rPr>
              <w:t>、产品BU总、客户体验总、解决方案总、区域铁三角</w:t>
            </w:r>
          </w:p>
          <w:p>
            <w:pPr>
              <w:spacing w:before="120" w:after="120" w:line="288" w:lineRule="auto"/>
              <w:ind w:left="0"/>
              <w:jc w:val="left"/>
            </w:pPr>
            <w:r>
              <w:rPr>
                <w:rFonts w:eastAsia="等线" w:ascii="Arial" w:cs="Arial" w:hAnsi="Arial"/>
                <w:sz w:val="22"/>
              </w:rPr>
              <w:t>BU级：</w:t>
            </w:r>
          </w:p>
          <w:p>
            <w:pPr>
              <w:spacing w:before="120" w:after="120" w:line="288" w:lineRule="auto"/>
              <w:ind w:left="0"/>
              <w:jc w:val="left"/>
            </w:pPr>
            <w:r>
              <w:rPr>
                <w:rFonts w:eastAsia="等线" w:ascii="Arial" w:cs="Arial" w:hAnsi="Arial"/>
                <w:sz w:val="22"/>
              </w:rPr>
              <w:t>评审人：系统总</w:t>
            </w:r>
            <w:r>
              <w:rPr>
                <w:rFonts w:eastAsia="等线" w:ascii="Arial" w:cs="Arial" w:hAnsi="Arial"/>
                <w:sz w:val="22"/>
              </w:rPr>
              <w:t>&amp;本部行业经理</w:t>
            </w:r>
            <w:r>
              <w:rPr>
                <w:rFonts w:eastAsia="等线" w:ascii="Arial" w:cs="Arial" w:hAnsi="Arial"/>
                <w:sz w:val="22"/>
              </w:rPr>
              <w:t>、</w:t>
            </w:r>
            <w:r>
              <w:rPr>
                <w:rFonts w:eastAsia="等线" w:ascii="Arial" w:cs="Arial" w:hAnsi="Arial"/>
                <w:sz w:val="22"/>
              </w:rPr>
              <w:t>营销总&amp;对应拓展</w:t>
            </w:r>
            <w:r>
              <w:rPr>
                <w:rFonts w:eastAsia="等线" w:ascii="Arial" w:cs="Arial" w:hAnsi="Arial"/>
                <w:sz w:val="22"/>
              </w:rPr>
              <w:t>、产品BU、 客户体验部、解决方案行业总，区域铁三角</w:t>
            </w:r>
          </w:p>
          <w:p>
            <w:pPr>
              <w:spacing w:before="120" w:after="120" w:line="288" w:lineRule="auto"/>
              <w:ind w:left="0"/>
              <w:jc w:val="left"/>
            </w:pPr>
          </w:p>
          <w:p>
            <w:pPr>
              <w:spacing w:before="120" w:after="120" w:line="288" w:lineRule="auto"/>
              <w:ind w:left="0"/>
              <w:jc w:val="left"/>
            </w:pPr>
            <w:r>
              <w:rPr>
                <w:rFonts w:eastAsia="等线" w:ascii="Arial" w:cs="Arial" w:hAnsi="Arial"/>
                <w:sz w:val="22"/>
              </w:rPr>
              <w:t>区域级：</w:t>
            </w:r>
          </w:p>
          <w:p>
            <w:pPr>
              <w:spacing w:before="120" w:after="120" w:line="288" w:lineRule="auto"/>
              <w:ind w:left="0"/>
              <w:jc w:val="left"/>
            </w:pPr>
            <w:r>
              <w:rPr>
                <w:rFonts w:eastAsia="等线" w:ascii="Arial" w:cs="Arial" w:hAnsi="Arial"/>
                <w:sz w:val="22"/>
              </w:rPr>
              <w:t>评审人：区域铁三角，</w:t>
            </w:r>
            <w:r>
              <w:rPr>
                <w:rFonts w:eastAsia="等线" w:ascii="Arial" w:cs="Arial" w:hAnsi="Arial"/>
                <w:sz w:val="22"/>
              </w:rPr>
              <w:t>区域行业经理、项目铁三角</w:t>
            </w:r>
          </w:p>
          <w:p>
            <w:pPr>
              <w:spacing w:before="120" w:after="120" w:line="288" w:lineRule="auto"/>
              <w:ind w:left="0"/>
              <w:jc w:val="left"/>
            </w:pPr>
            <w:r>
              <w:rPr>
                <w:rFonts w:eastAsia="等线" w:ascii="Arial" w:cs="Arial" w:hAnsi="Arial"/>
                <w:sz w:val="22"/>
              </w:rPr>
              <w:t xml:space="preserve"> </w:t>
            </w:r>
          </w:p>
          <w:p>
            <w:pPr>
              <w:spacing w:before="120" w:after="120" w:line="288" w:lineRule="auto"/>
              <w:ind w:left="0"/>
              <w:jc w:val="left"/>
            </w:pPr>
            <w:r>
              <w:rPr>
                <w:rFonts w:eastAsia="等线" w:ascii="Arial" w:cs="Arial" w:hAnsi="Arial"/>
                <w:sz w:val="22"/>
              </w:rPr>
              <w:t>BG级：</w:t>
            </w:r>
          </w:p>
          <w:p>
            <w:pPr>
              <w:spacing w:before="120" w:after="120" w:line="288" w:lineRule="auto"/>
              <w:ind w:left="0"/>
              <w:jc w:val="left"/>
            </w:pPr>
            <w:r>
              <w:rPr>
                <w:rFonts w:eastAsia="等线" w:ascii="Arial" w:cs="Arial" w:hAnsi="Arial"/>
                <w:sz w:val="22"/>
              </w:rPr>
              <w:t>决策人：</w:t>
            </w:r>
            <w:r>
              <w:rPr>
                <w:rFonts w:eastAsia="等线" w:ascii="Arial" w:cs="Arial" w:hAnsi="Arial"/>
                <w:sz w:val="22"/>
              </w:rPr>
              <w:t>售前技术部总经理</w:t>
            </w:r>
          </w:p>
          <w:p>
            <w:pPr>
              <w:spacing w:before="120" w:after="120" w:line="288" w:lineRule="auto"/>
              <w:ind w:left="0"/>
              <w:jc w:val="left"/>
            </w:pPr>
            <w:r>
              <w:rPr>
                <w:rFonts w:eastAsia="等线" w:ascii="Arial" w:cs="Arial" w:hAnsi="Arial"/>
                <w:sz w:val="22"/>
              </w:rPr>
              <w:t>BU级：</w:t>
            </w:r>
          </w:p>
          <w:p>
            <w:pPr>
              <w:spacing w:before="120" w:after="120" w:line="288" w:lineRule="auto"/>
              <w:ind w:left="0"/>
              <w:jc w:val="left"/>
            </w:pPr>
            <w:r>
              <w:rPr>
                <w:rFonts w:eastAsia="等线" w:ascii="Arial" w:cs="Arial" w:hAnsi="Arial"/>
                <w:sz w:val="22"/>
              </w:rPr>
              <w:t>决策人：</w:t>
            </w:r>
            <w:r>
              <w:rPr>
                <w:rFonts w:eastAsia="等线" w:ascii="Arial" w:cs="Arial" w:hAnsi="Arial"/>
                <w:sz w:val="22"/>
              </w:rPr>
              <w:t>大区节点经理&amp;系统部技术经理</w:t>
            </w:r>
          </w:p>
          <w:p>
            <w:pPr>
              <w:spacing w:before="120" w:after="120" w:line="288" w:lineRule="auto"/>
              <w:ind w:left="0"/>
              <w:jc w:val="left"/>
            </w:pPr>
            <w:r>
              <w:rPr>
                <w:rFonts w:eastAsia="等线" w:ascii="Arial" w:cs="Arial" w:hAnsi="Arial"/>
                <w:sz w:val="22"/>
              </w:rPr>
              <w:t>区域级：</w:t>
            </w:r>
          </w:p>
          <w:p>
            <w:pPr>
              <w:spacing w:before="120" w:after="120" w:line="288" w:lineRule="auto"/>
              <w:ind w:left="0"/>
              <w:jc w:val="left"/>
            </w:pPr>
            <w:r>
              <w:rPr>
                <w:rFonts w:eastAsia="等线" w:ascii="Arial" w:cs="Arial" w:hAnsi="Arial"/>
                <w:sz w:val="22"/>
              </w:rPr>
              <w:t>决策人：</w:t>
            </w:r>
            <w:r>
              <w:rPr>
                <w:rFonts w:eastAsia="等线" w:ascii="Arial" w:cs="Arial" w:hAnsi="Arial"/>
                <w:sz w:val="22"/>
              </w:rPr>
              <w:t>区域</w:t>
            </w:r>
            <w:r>
              <w:rPr>
                <w:rFonts w:eastAsia="等线" w:ascii="Arial" w:cs="Arial" w:hAnsi="Arial"/>
                <w:sz w:val="22"/>
              </w:rPr>
              <w:t>技术经理</w:t>
            </w:r>
          </w:p>
        </w:tc>
        <w:tc>
          <w:tcPr>
            <w:tcW w:w="157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 xml:space="preserve"> </w:t>
            </w:r>
          </w:p>
          <w:p>
            <w:pPr>
              <w:spacing w:before="120" w:after="120" w:line="288" w:lineRule="auto"/>
              <w:ind w:left="0"/>
              <w:jc w:val="left"/>
            </w:pPr>
            <w:hyperlink r:id="rId19">
              <w:r>
                <w:rPr>
                  <w:rFonts w:eastAsia="等线" w:ascii="Arial" w:cs="Arial" w:hAnsi="Arial"/>
                  <w:color w:val="3370ff"/>
                  <w:sz w:val="22"/>
                </w:rPr>
                <w:t>XX客户高质量技术交流计划准备卡-张宏涛</w:t>
              </w:r>
            </w:hyperlink>
          </w:p>
        </w:tc>
        <w:tc>
          <w:tcPr>
            <w:tcW w:w="4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p>
        </w:tc>
      </w:tr>
    </w:tbl>
    <w:p>
      <w:pPr>
        <w:pStyle w:val="1"/>
        <w:spacing w:before="380" w:after="140" w:line="288" w:lineRule="auto"/>
        <w:ind w:left="0"/>
        <w:jc w:val="left"/>
        <w:outlineLvl w:val="0"/>
      </w:pPr>
      <w:bookmarkStart w:name="heading_19" w:id="19"/>
      <w:r>
        <w:rPr>
          <w:rFonts w:eastAsia="等线" w:ascii="Arial" w:cs="Arial" w:hAnsi="Arial"/>
          <w:color w:val="3370ff"/>
          <w:sz w:val="36"/>
        </w:rPr>
        <w:t xml:space="preserve">6. </w:t>
      </w:r>
      <w:r>
        <w:rPr>
          <w:rFonts w:eastAsia="等线" w:ascii="Arial" w:cs="Arial" w:hAnsi="Arial"/>
          <w:b w:val="true"/>
          <w:sz w:val="36"/>
        </w:rPr>
        <w:t>解释权限及生效日期</w:t>
      </w:r>
      <w:bookmarkEnd w:id="19"/>
    </w:p>
    <w:p>
      <w:pPr>
        <w:spacing w:before="120" w:after="120" w:line="288" w:lineRule="auto"/>
        <w:ind w:left="0"/>
        <w:jc w:val="left"/>
      </w:pPr>
      <w:r>
        <w:rPr>
          <w:rFonts w:eastAsia="等线" w:ascii="Arial" w:cs="Arial" w:hAnsi="Arial"/>
          <w:sz w:val="22"/>
        </w:rPr>
        <w:t>本文档的解释权归属流程管理部。</w:t>
      </w:r>
    </w:p>
    <w:p>
      <w:pPr>
        <w:spacing w:before="120" w:after="120" w:line="288" w:lineRule="auto"/>
        <w:ind w:left="0"/>
        <w:jc w:val="left"/>
      </w:pPr>
      <w:r>
        <w:rPr>
          <w:rFonts w:eastAsia="等线" w:ascii="Arial" w:cs="Arial" w:hAnsi="Arial"/>
          <w:sz w:val="22"/>
        </w:rPr>
        <w:t>本文档自发布之日起生效。</w:t>
      </w:r>
    </w:p>
    <w:p>
      <w:pPr>
        <w:spacing w:before="120" w:after="120" w:line="288" w:lineRule="auto"/>
        <w:ind w:left="0"/>
        <w:jc w:val="left"/>
      </w:pPr>
    </w:p>
    <w:sectPr>
      <w:footerReference w:type="default" r:id="rId3"/>
      <w:headerReference w:type="default" r:id="rId20"/>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8569">
    <w:lvl>
      <w:start w:val="1"/>
      <w:numFmt w:val="decimal"/>
      <w:suff w:val="tab"/>
      <w:lvlText w:val="%1."/>
      <w:rPr>
        <w:color w:val="3370ff"/>
      </w:rPr>
    </w:lvl>
  </w:abstractNum>
  <w:abstractNum w:abstractNumId="8570">
    <w:lvl>
      <w:start w:val="2"/>
      <w:numFmt w:val="decimal"/>
      <w:suff w:val="tab"/>
      <w:lvlText w:val="%1."/>
      <w:rPr>
        <w:color w:val="3370ff"/>
      </w:rPr>
    </w:lvl>
  </w:abstractNum>
  <w:abstractNum w:abstractNumId="8571">
    <w:lvl>
      <w:start w:val="3"/>
      <w:numFmt w:val="decimal"/>
      <w:suff w:val="tab"/>
      <w:lvlText w:val="%1."/>
      <w:rPr>
        <w:color w:val="3370ff"/>
      </w:rPr>
    </w:lvl>
  </w:abstractNum>
  <w:abstractNum w:abstractNumId="8572">
    <w:lvl>
      <w:start w:val="4"/>
      <w:numFmt w:val="decimal"/>
      <w:suff w:val="tab"/>
      <w:lvlText w:val="%1."/>
      <w:rPr>
        <w:color w:val="3370ff"/>
      </w:rPr>
    </w:lvl>
  </w:abstractNum>
  <w:abstractNum w:abstractNumId="8573">
    <w:lvl>
      <w:start w:val="1"/>
      <w:numFmt w:val="decimal"/>
      <w:suff w:val="tab"/>
      <w:lvlText w:val="%1."/>
      <w:rPr>
        <w:color w:val="3370ff"/>
      </w:rPr>
    </w:lvl>
  </w:abstractNum>
  <w:abstractNum w:abstractNumId="8574">
    <w:lvl>
      <w:start w:val="2"/>
      <w:numFmt w:val="decimal"/>
      <w:suff w:val="tab"/>
      <w:lvlText w:val="%1."/>
      <w:rPr>
        <w:color w:val="3370ff"/>
      </w:rPr>
    </w:lvl>
  </w:abstractNum>
  <w:abstractNum w:abstractNumId="8575">
    <w:lvl>
      <w:start w:val="3"/>
      <w:numFmt w:val="decimal"/>
      <w:suff w:val="tab"/>
      <w:lvlText w:val="%1."/>
      <w:rPr>
        <w:color w:val="3370ff"/>
      </w:rPr>
    </w:lvl>
  </w:abstractNum>
  <w:num w:numId="1">
    <w:abstractNumId w:val="8569"/>
  </w:num>
  <w:num w:numId="2">
    <w:abstractNumId w:val="8570"/>
  </w:num>
  <w:num w:numId="3">
    <w:abstractNumId w:val="8571"/>
  </w:num>
  <w:num w:numId="4">
    <w:abstractNumId w:val="8572"/>
  </w:num>
  <w:num w:numId="5">
    <w:abstractNumId w:val="8573"/>
  </w:num>
  <w:num w:numId="6">
    <w:abstractNumId w:val="8574"/>
  </w:num>
  <w:num w:numId="7">
    <w:abstractNumId w:val="857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ruijie.feishu.cn/sheets/HSRusFT8Qh93XstgrCicL0gynse?sheet=OIIkAn" TargetMode="External" Type="http://schemas.openxmlformats.org/officeDocument/2006/relationships/hyperlink"/><Relationship Id="rId11" Target="embeddings/Microsoft_Excel_Worksheet1.xlsx" Type="http://schemas.openxmlformats.org/officeDocument/2006/relationships/package"/><Relationship Id="rId12" Target="media/image5.png" Type="http://schemas.openxmlformats.org/officeDocument/2006/relationships/image"/><Relationship Id="rId13" Target="embeddings/Microsoft_Excel_Worksheet2.xlsx" Type="http://schemas.openxmlformats.org/officeDocument/2006/relationships/package"/><Relationship Id="rId14" Target="media/image6.png" Type="http://schemas.openxmlformats.org/officeDocument/2006/relationships/image"/><Relationship Id="rId15" Target="embeddings/Microsoft_Excel_Worksheet3.xlsx" Type="http://schemas.openxmlformats.org/officeDocument/2006/relationships/package"/><Relationship Id="rId16" Target="media/image7.png" Type="http://schemas.openxmlformats.org/officeDocument/2006/relationships/image"/><Relationship Id="rId17" Target="embeddings/Microsoft_Excel_Worksheet4.xlsx" Type="http://schemas.openxmlformats.org/officeDocument/2006/relationships/package"/><Relationship Id="rId18" Target="media/image8.png" Type="http://schemas.openxmlformats.org/officeDocument/2006/relationships/image"/><Relationship Id="rId19" Target="https://ruijie.feishu.cn/wiki/Jx9wwNV9ziXTfmkgv4rcVFPXn1e" TargetMode="External" Type="http://schemas.openxmlformats.org/officeDocument/2006/relationships/hyperlink"/><Relationship Id="rId2" Target="styles.xml" Type="http://schemas.openxmlformats.org/officeDocument/2006/relationships/styles"/><Relationship Id="rId20" Target="header1.xml" Type="http://schemas.openxmlformats.org/officeDocument/2006/relationships/header"/><Relationship Id="rId3" Target="footer1.xml" Type="http://schemas.openxmlformats.org/officeDocument/2006/relationships/footer"/><Relationship Id="rId4" Target="numbering.xml" Type="http://schemas.openxmlformats.org/officeDocument/2006/relationships/numbering"/><Relationship Id="rId5" Target="media/image1.jpeg" Type="http://schemas.openxmlformats.org/officeDocument/2006/relationships/image"/><Relationship Id="rId6" Target="media/image2.jpeg" Type="http://schemas.openxmlformats.org/officeDocument/2006/relationships/image"/><Relationship Id="rId7" Target="media/image3.jpeg" Type="http://schemas.openxmlformats.org/officeDocument/2006/relationships/image"/><Relationship Id="rId8" Target="media/image4.jpeg" Type="http://schemas.openxmlformats.org/officeDocument/2006/relationships/image"/><Relationship Id="rId9" Target="https://ruijie.feishu.cn/sheets/HSRusFT8Qh93XstgrCicL0gynse?sheet=OIIkAn"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9.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2025-05-13T08:45:03Z</dcterms:created>
  <dc:creator>Apache POI</dc:creator>
</cp:coreProperties>
</file>