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M11.3 制定并执行投标策略流程</w:t>
      </w:r>
      <w:r>
        <w:rPr>
          <w:rFonts w:eastAsia="等线" w:ascii="Arial" w:cs="Arial" w:hAnsi="Arial"/>
          <w:b w:val="true"/>
          <w:sz w:val="52"/>
        </w:rPr>
        <w:t>说明</w:t>
      </w:r>
      <w:r>
        <w:rPr>
          <w:rFonts w:eastAsia="等线" w:ascii="Arial" w:cs="Arial" w:hAnsi="Arial"/>
          <w:b w:val="true"/>
          <w:sz w:val="52"/>
        </w:rPr>
        <w:t>文件</w:t>
      </w:r>
      <w:r>
        <w:rPr>
          <w:rFonts w:eastAsia="等线" w:ascii="Arial" w:cs="Arial" w:hAnsi="Arial"/>
          <w:b w:val="true"/>
          <w:sz w:val="52"/>
        </w:rPr>
        <w:t>-V0.9</w:t>
      </w:r>
    </w:p>
    <w:p>
      <w:pPr>
        <w:spacing w:before="120" w:after="120" w:line="288" w:lineRule="auto"/>
        <w:ind w:left="0"/>
        <w:jc w:val="right"/>
      </w:pPr>
      <w:r>
        <w:rPr>
          <w:rFonts w:eastAsia="等线" w:ascii="Arial" w:cs="Arial" w:hAnsi="Arial"/>
          <w:sz w:val="22"/>
        </w:rPr>
        <w:t xml:space="preserve">密级：B </w:t>
      </w:r>
    </w:p>
    <w:p>
      <w:pPr>
        <w:pStyle w:val="1"/>
        <w:spacing w:before="380" w:after="140" w:line="288" w:lineRule="auto"/>
        <w:ind w:left="0"/>
        <w:jc w:val="center"/>
        <w:outlineLvl w:val="0"/>
      </w:pPr>
      <w:bookmarkStart w:name="heading_0" w:id="0"/>
      <w:r>
        <w:rPr>
          <w:rFonts w:eastAsia="等线" w:ascii="Arial" w:cs="Arial" w:hAnsi="Arial"/>
          <w:b w:val="true"/>
          <w:sz w:val="36"/>
        </w:rPr>
        <w:t xml:space="preserve"> </w:t>
      </w:r>
      <w:bookmarkEnd w:id="0"/>
    </w:p>
    <w:p>
      <w:pPr>
        <w:pStyle w:val="1"/>
        <w:spacing w:before="380" w:after="140" w:line="288" w:lineRule="auto"/>
        <w:ind w:left="0"/>
        <w:jc w:val="center"/>
        <w:outlineLvl w:val="0"/>
      </w:pPr>
      <w:bookmarkStart w:name="heading_1" w:id="1"/>
      <w:r>
        <w:rPr>
          <w:rFonts w:eastAsia="等线" w:ascii="Arial" w:cs="Arial" w:hAnsi="Arial"/>
          <w:b w:val="true"/>
          <w:sz w:val="36"/>
        </w:rPr>
        <w:t>制定并执行投标策略</w:t>
      </w:r>
      <w:bookmarkEnd w:id="1"/>
    </w:p>
    <w:p>
      <w:pPr>
        <w:pStyle w:val="1"/>
        <w:spacing w:before="380" w:after="140" w:line="288" w:lineRule="auto"/>
        <w:ind w:left="0"/>
        <w:jc w:val="center"/>
        <w:outlineLvl w:val="0"/>
      </w:pPr>
      <w:bookmarkStart w:name="heading_2" w:id="2"/>
      <w:r>
        <w:rPr>
          <w:rFonts w:eastAsia="等线" w:ascii="Arial" w:cs="Arial" w:hAnsi="Arial"/>
          <w:b w:val="true"/>
          <w:sz w:val="36"/>
        </w:rPr>
        <w:t xml:space="preserve"> </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410"/>
        <w:gridCol w:w="1410"/>
        <w:gridCol w:w="930"/>
      </w:tblGrid>
      <w:tr>
        <w:tc>
          <w:tcPr>
            <w:tcW w:w="591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文件名称：制定并执行投标策略</w:t>
            </w: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版本：V0.9</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密级：B</w:t>
            </w:r>
          </w:p>
        </w:tc>
      </w:tr>
      <w:tr>
        <w:tc>
          <w:tcPr>
            <w:tcW w:w="591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文件编号：MTCV-MO-M11.3-P-制定并执行投标策略-V0.9</w:t>
            </w: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234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生效日期：2025/3/28</w:t>
            </w:r>
          </w:p>
        </w:tc>
        <w:tc>
          <w:tcPr>
            <w:tcW w:w="930" w:type="dxa"/>
            <w:hMerge w:val="continue"/>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流程L2 PO：曹曦</w:t>
            </w:r>
          </w:p>
        </w:tc>
        <w:tc>
          <w:tcPr>
            <w:tcW w:w="300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流程L3 PO：刘军</w:t>
            </w: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375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流程组团队成员：何雨阳、葛家栋、孔勐、杨俊1、常青</w:t>
            </w: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930" w:type="dxa"/>
            <w:hMerge w:val="continue"/>
            <w:tcMar>
              <w:top w:type="dxa" w:w="60"/>
              <w:left w:type="dxa" w:w="120"/>
              <w:bottom w:type="dxa" w:w="30"/>
              <w:right w:type="dxa" w:w="120"/>
            </w:tcMar>
          </w:tcPr>
          <w:p>
            <w:pPr>
              <w:spacing w:before="120" w:after="120" w:line="288" w:lineRule="auto"/>
              <w:ind w:left="0"/>
              <w:jc w:val="left"/>
            </w:pPr>
          </w:p>
        </w:tc>
      </w:tr>
      <w:tr>
        <w:tc>
          <w:tcPr>
            <w:tcW w:w="825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更 改   记 录</w:t>
            </w: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930" w:type="dxa"/>
            <w:hMerge w:val="continue"/>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版本号</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更改人</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审核人</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批准人</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生效日期</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更改内容</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V0.9</w:t>
            </w:r>
          </w:p>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流程PO：刘军</w:t>
            </w:r>
          </w:p>
          <w:p>
            <w:pPr>
              <w:spacing w:before="120" w:after="120" w:line="288" w:lineRule="auto"/>
              <w:ind w:left="0"/>
              <w:jc w:val="left"/>
            </w:pPr>
            <w:r>
              <w:rPr>
                <w:rFonts w:eastAsia="等线" w:ascii="Arial" w:cs="Arial" w:hAnsi="Arial"/>
                <w:sz w:val="22"/>
              </w:rPr>
              <w:t>流程PC：赵波</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曹曦</w:t>
            </w:r>
          </w:p>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EBG流程执委会</w:t>
            </w:r>
          </w:p>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2025-3-28</w:t>
            </w:r>
          </w:p>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首次发布</w:t>
            </w:r>
          </w:p>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V1.0</w:t>
            </w:r>
          </w:p>
        </w:tc>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center"/>
      </w:pP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color w:val="3370ff"/>
          <w:sz w:val="36"/>
        </w:rPr>
        <w:t xml:space="preserve">1. </w:t>
      </w:r>
      <w:r>
        <w:rPr>
          <w:rFonts w:eastAsia="等线" w:ascii="Arial" w:cs="Arial" w:hAnsi="Arial"/>
          <w:b w:val="true"/>
          <w:sz w:val="36"/>
        </w:rPr>
        <w:t>目的</w:t>
      </w:r>
      <w:bookmarkEnd w:id="3"/>
    </w:p>
    <w:p>
      <w:pPr>
        <w:spacing w:before="120" w:after="120" w:line="288" w:lineRule="auto"/>
        <w:ind w:left="0" w:firstLine="420"/>
        <w:jc w:val="left"/>
      </w:pPr>
      <w:r>
        <w:rPr>
          <w:rFonts w:eastAsia="等线" w:ascii="Arial" w:cs="Arial" w:hAnsi="Arial"/>
          <w:sz w:val="22"/>
        </w:rPr>
        <w:t>制定并执行投标策略是参与市场竞争、提升中标率的重要手段。通过深入的市场调研与分析、明确投标目标、制定投标方案、建立投标团队等步骤，可以制定出一套科学、合理的投标策略。在执行投标策略的过程中，要密切关注市场动态和竞争对手的动向，及时调整策略，确保投标工作的顺利进行。同时，要对每次投标活动进行总结和反思，不断优化投标策略，提升我们的投标能力和水平。</w:t>
      </w:r>
    </w:p>
    <w:p>
      <w:pPr>
        <w:pStyle w:val="1"/>
        <w:spacing w:before="380" w:after="140" w:line="288" w:lineRule="auto"/>
        <w:ind w:left="0"/>
        <w:jc w:val="left"/>
        <w:outlineLvl w:val="0"/>
      </w:pPr>
      <w:bookmarkStart w:name="heading_4" w:id="4"/>
      <w:r>
        <w:rPr>
          <w:rFonts w:eastAsia="等线" w:ascii="Arial" w:cs="Arial" w:hAnsi="Arial"/>
          <w:color w:val="3370ff"/>
          <w:sz w:val="36"/>
        </w:rPr>
        <w:t xml:space="preserve">2. </w:t>
      </w:r>
      <w:r>
        <w:rPr>
          <w:rFonts w:eastAsia="等线" w:ascii="Arial" w:cs="Arial" w:hAnsi="Arial"/>
          <w:b w:val="true"/>
          <w:sz w:val="36"/>
        </w:rPr>
        <w:t>适用范围</w:t>
      </w:r>
      <w:bookmarkEnd w:id="4"/>
    </w:p>
    <w:p>
      <w:pPr>
        <w:spacing w:before="120" w:after="120" w:line="288" w:lineRule="auto"/>
        <w:ind w:left="0"/>
        <w:jc w:val="left"/>
      </w:pPr>
      <w:r>
        <w:rPr>
          <w:rFonts w:eastAsia="等线" w:ascii="Arial" w:cs="Arial" w:hAnsi="Arial"/>
          <w:sz w:val="22"/>
        </w:rPr>
        <w:t>本流程适用于 EBG 所有需要投标的业务场景。</w:t>
      </w:r>
    </w:p>
    <w:p>
      <w:pPr>
        <w:pStyle w:val="1"/>
        <w:spacing w:before="380" w:after="140" w:line="288" w:lineRule="auto"/>
        <w:ind w:left="0"/>
        <w:jc w:val="left"/>
        <w:outlineLvl w:val="0"/>
      </w:pPr>
      <w:bookmarkStart w:name="heading_5" w:id="5"/>
      <w:r>
        <w:rPr>
          <w:rFonts w:eastAsia="等线" w:ascii="Arial" w:cs="Arial" w:hAnsi="Arial"/>
          <w:color w:val="3370ff"/>
          <w:sz w:val="36"/>
        </w:rPr>
        <w:t xml:space="preserve">3. </w:t>
      </w:r>
      <w:r>
        <w:rPr>
          <w:rFonts w:eastAsia="等线" w:ascii="Arial" w:cs="Arial" w:hAnsi="Arial"/>
          <w:b w:val="true"/>
          <w:sz w:val="36"/>
        </w:rPr>
        <w:t>名词解释</w:t>
      </w:r>
      <w:bookmarkEnd w:id="5"/>
    </w:p>
    <w:p>
      <w:pPr>
        <w:spacing w:before="120" w:after="120" w:line="288" w:lineRule="auto"/>
        <w:ind w:left="0"/>
        <w:jc w:val="left"/>
      </w:pPr>
      <w:r>
        <w:rPr>
          <w:rFonts w:eastAsia="等线" w:ascii="Arial" w:cs="Arial" w:hAnsi="Arial"/>
          <w:sz w:val="22"/>
        </w:rPr>
        <w:t>无</w:t>
      </w:r>
    </w:p>
    <w:p>
      <w:pPr>
        <w:pStyle w:val="1"/>
        <w:spacing w:before="380" w:after="140" w:line="288" w:lineRule="auto"/>
        <w:ind w:left="0"/>
        <w:jc w:val="left"/>
        <w:outlineLvl w:val="0"/>
      </w:pPr>
      <w:bookmarkStart w:name="heading_6" w:id="6"/>
      <w:r>
        <w:rPr>
          <w:rFonts w:eastAsia="等线" w:ascii="Arial" w:cs="Arial" w:hAnsi="Arial"/>
          <w:color w:val="3370ff"/>
          <w:sz w:val="36"/>
        </w:rPr>
        <w:t xml:space="preserve">4. </w:t>
      </w:r>
      <w:r>
        <w:rPr>
          <w:rFonts w:eastAsia="等线" w:ascii="Arial" w:cs="Arial" w:hAnsi="Arial"/>
          <w:b w:val="true"/>
          <w:sz w:val="36"/>
        </w:rPr>
        <w:t>职责分工</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95"/>
        <w:gridCol w:w="2625"/>
        <w:gridCol w:w="4260"/>
      </w:tblGrid>
      <w:tr>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角色</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描述</w:t>
            </w:r>
          </w:p>
        </w:tc>
        <w:tc>
          <w:tcPr>
            <w:tcW w:w="4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职责</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客户关系负责人</w:t>
            </w:r>
          </w:p>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行业客户代表、行业经理、城市客户代表、城市经理、渠道经理、服务产品销售、区域副经理、区域经理</w:t>
            </w: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获取招标文件、标书分析、参与策略制定、内外部资源协调，作为客户与内部团队的桥梁，推动策略落地</w:t>
            </w:r>
          </w:p>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技术负责人</w:t>
            </w:r>
          </w:p>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售前工程师、技术经理、售前大区节点经理、售前技术部总经理</w:t>
            </w: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整理竞争分析、设计技术方案、撰写技术标书、响应客户技术要求、参与策略制定</w:t>
            </w:r>
          </w:p>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客户体验负责人</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客户体验部区域经理、售后</w:t>
            </w: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评估项目实施交付方案；</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项目经理</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行业经理、城市经理、区域副经理、区域经理、系统部总经理</w:t>
            </w: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确保投标全流程高效执行的核心角色，其职责贯穿</w:t>
            </w:r>
            <w:r>
              <w:rPr>
                <w:rFonts w:eastAsia="等线" w:ascii="Arial" w:cs="Arial" w:hAnsi="Arial"/>
                <w:b w:val="true"/>
                <w:sz w:val="22"/>
              </w:rPr>
              <w:t>策略制定、资源协调、风险控制到最终交付</w:t>
            </w:r>
          </w:p>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评审委员会</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根据商机分类情况，平台管理部、系统部、产品部、客户体验部、解决方案、销售管理部价格组和供应链部门相关人员、区域经理、销管BP</w:t>
            </w: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通过明确职责、建立高效协作机制，项目组可最大化整合内部资源，快速响应复杂投标需求</w:t>
            </w:r>
          </w:p>
          <w:p>
            <w:pPr>
              <w:spacing w:before="120" w:after="120" w:line="288" w:lineRule="auto"/>
              <w:ind w:left="0"/>
              <w:jc w:val="left"/>
            </w:pPr>
          </w:p>
        </w:tc>
      </w:tr>
    </w:tbl>
    <w:p>
      <w:pPr>
        <w:pStyle w:val="1"/>
        <w:spacing w:before="380" w:after="140" w:line="288" w:lineRule="auto"/>
        <w:ind w:left="0"/>
        <w:jc w:val="left"/>
        <w:outlineLvl w:val="0"/>
      </w:pPr>
      <w:bookmarkStart w:name="heading_7" w:id="7"/>
      <w:r>
        <w:rPr>
          <w:rFonts w:eastAsia="等线" w:ascii="Arial" w:cs="Arial" w:hAnsi="Arial"/>
          <w:color w:val="3370ff"/>
          <w:sz w:val="36"/>
        </w:rPr>
        <w:t xml:space="preserve">5. </w:t>
      </w:r>
      <w:r>
        <w:rPr>
          <w:rFonts w:eastAsia="等线" w:ascii="Arial" w:cs="Arial" w:hAnsi="Arial"/>
          <w:b w:val="true"/>
          <w:sz w:val="36"/>
        </w:rPr>
        <w:t>流程文件评审</w:t>
      </w:r>
      <w:bookmarkEnd w:id="7"/>
    </w:p>
    <w:p>
      <w:pPr>
        <w:pStyle w:val="2"/>
        <w:spacing w:before="320" w:after="120" w:line="288" w:lineRule="auto"/>
        <w:ind w:left="0"/>
        <w:jc w:val="left"/>
        <w:outlineLvl w:val="1"/>
      </w:pPr>
      <w:bookmarkStart w:name="heading_8" w:id="8"/>
      <w:r>
        <w:rPr>
          <w:rFonts w:eastAsia="等线" w:ascii="Arial" w:cs="Arial" w:hAnsi="Arial"/>
          <w:color w:val="3370ff"/>
          <w:sz w:val="32"/>
        </w:rPr>
        <w:t xml:space="preserve">5.1 </w:t>
      </w:r>
      <w:r>
        <w:rPr>
          <w:rFonts w:eastAsia="等线" w:ascii="Arial" w:cs="Arial" w:hAnsi="Arial"/>
          <w:b w:val="true"/>
          <w:sz w:val="32"/>
        </w:rPr>
        <w:t>流程卡</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65"/>
        <w:gridCol w:w="2775"/>
        <w:gridCol w:w="765"/>
        <w:gridCol w:w="765"/>
        <w:gridCol w:w="765"/>
        <w:gridCol w:w="2415"/>
      </w:tblGrid>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流程名称</w:t>
            </w: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制定并执行投标策略</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流程层级</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L3</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流程架构编码</w:t>
            </w:r>
          </w:p>
        </w:tc>
        <w:tc>
          <w:tcPr>
            <w:tcW w:w="24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M11.3</w:t>
            </w:r>
          </w:p>
        </w:tc>
      </w:tr>
      <w:tr>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流程定义</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制定并执行投标策略是指为了成功参与投标活动，通过深入分析市场需求、竞争对手情况及自身优势，明确投标目标，设计相应的技术方案、商务报价及营销策略，并组建专业团队负责投标</w:t>
            </w:r>
            <w:r>
              <w:rPr>
                <w:rFonts w:eastAsia="等线" w:ascii="Arial" w:cs="Arial" w:hAnsi="Arial"/>
                <w:sz w:val="22"/>
              </w:rPr>
              <w:t>材料的输出</w:t>
            </w:r>
            <w:r>
              <w:rPr>
                <w:rFonts w:eastAsia="等线" w:ascii="Arial" w:cs="Arial" w:hAnsi="Arial"/>
                <w:sz w:val="22"/>
              </w:rPr>
              <w:t>，同时在投标过程中持续监控市场动态，灵活调整策略，以确保在竞争中脱颖而出，中标后有效跟进项目执行，并在每次投标后进行总结反馈，不断优化未来投标流程与策略的一系列规划与行动过程。</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流程目的</w:t>
            </w:r>
          </w:p>
          <w:p>
            <w:pPr>
              <w:spacing w:before="120" w:after="120" w:line="288" w:lineRule="auto"/>
              <w:ind w:left="0"/>
              <w:jc w:val="left"/>
            </w:pPr>
          </w:p>
        </w:tc>
        <w:tc>
          <w:tcPr>
            <w:tcW w:w="394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定并执行投标策略流程的主要目的是为了提高企业在投标过程中的竞争力和中标率，确保投标活动能够科学、有序、高效地进行。通过深入分析市场需求、竞争对手及自身优势，能够制定出更加符合实际情况的投标方案，从而在投标中展现出更强的竞争力。同时，执行投标策略流程还能够规范投标行为，提高投标效率，降低投标成本，为企业赢得更多的市场份额和利润。</w:t>
            </w:r>
          </w:p>
        </w:tc>
        <w:tc>
          <w:tcPr>
            <w:tcW w:w="765" w:type="dxa"/>
            <w:hMerge w:val="continue"/>
            <w:tcMar>
              <w:top w:type="dxa" w:w="60"/>
              <w:left w:type="dxa" w:w="120"/>
              <w:bottom w:type="dxa" w:w="30"/>
              <w:right w:type="dxa" w:w="120"/>
            </w:tcMar>
          </w:tcPr>
          <w:p>
            <w:pPr>
              <w:spacing w:before="120" w:after="120" w:line="288" w:lineRule="auto"/>
              <w:ind w:left="0"/>
              <w:jc w:val="left"/>
            </w:pPr>
          </w:p>
        </w:tc>
        <w:tc>
          <w:tcPr>
            <w:tcW w:w="2415" w:type="dxa"/>
            <w:hMerge w:val="continue"/>
            <w:tcMar>
              <w:top w:type="dxa" w:w="60"/>
              <w:left w:type="dxa" w:w="120"/>
              <w:bottom w:type="dxa" w:w="30"/>
              <w:right w:type="dxa" w:w="120"/>
            </w:tcMar>
          </w:tcPr>
          <w:p>
            <w:pPr>
              <w:spacing w:before="120" w:after="120" w:line="288" w:lineRule="auto"/>
              <w:ind w:left="0"/>
              <w:jc w:val="left"/>
            </w:pPr>
          </w:p>
        </w:tc>
      </w:tr>
      <w:tr>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流程责任</w:t>
            </w:r>
            <w:r>
              <w:rPr>
                <w:rFonts w:eastAsia="等线" w:ascii="Arial" w:cs="Arial" w:hAnsi="Arial"/>
                <w:b w:val="true"/>
                <w:sz w:val="22"/>
              </w:rPr>
              <w:t>人</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w:t>
            </w:r>
            <w:r>
              <w:rPr>
                <w:rFonts w:eastAsia="等线" w:ascii="Arial" w:cs="Arial" w:hAnsi="Arial"/>
                <w:sz w:val="22"/>
              </w:rPr>
              <w:t>经理</w:t>
            </w:r>
          </w:p>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上一层流程名称</w:t>
            </w:r>
          </w:p>
        </w:tc>
        <w:tc>
          <w:tcPr>
            <w:tcW w:w="394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   管理商机</w:t>
            </w:r>
          </w:p>
        </w:tc>
        <w:tc>
          <w:tcPr>
            <w:tcW w:w="765" w:type="dxa"/>
            <w:hMerge w:val="continue"/>
            <w:tcMar>
              <w:top w:type="dxa" w:w="60"/>
              <w:left w:type="dxa" w:w="120"/>
              <w:bottom w:type="dxa" w:w="30"/>
              <w:right w:type="dxa" w:w="120"/>
            </w:tcMar>
          </w:tcPr>
          <w:p>
            <w:pPr>
              <w:spacing w:before="120" w:after="120" w:line="288" w:lineRule="auto"/>
              <w:ind w:left="0"/>
              <w:jc w:val="left"/>
            </w:pPr>
          </w:p>
        </w:tc>
        <w:tc>
          <w:tcPr>
            <w:tcW w:w="2415" w:type="dxa"/>
            <w:hMerge w:val="continue"/>
            <w:tcMar>
              <w:top w:type="dxa" w:w="60"/>
              <w:left w:type="dxa" w:w="120"/>
              <w:bottom w:type="dxa" w:w="30"/>
              <w:right w:type="dxa" w:w="120"/>
            </w:tcMar>
          </w:tcPr>
          <w:p>
            <w:pPr>
              <w:spacing w:before="120" w:after="120" w:line="288" w:lineRule="auto"/>
              <w:ind w:left="0"/>
              <w:jc w:val="left"/>
            </w:pPr>
          </w:p>
        </w:tc>
      </w:tr>
      <w:tr>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包含的下层子流程或活动</w:t>
            </w:r>
          </w:p>
        </w:tc>
        <w:tc>
          <w:tcPr>
            <w:tcW w:w="748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获取标书，分析标书，制定投标策略，评审投标策略，执行投标策略</w:t>
            </w:r>
          </w:p>
          <w:p>
            <w:pPr>
              <w:spacing w:before="120" w:after="120" w:line="288" w:lineRule="auto"/>
              <w:ind w:left="0"/>
              <w:jc w:val="left"/>
            </w:pPr>
          </w:p>
        </w:tc>
        <w:tc>
          <w:tcPr>
            <w:tcW w:w="765" w:type="dxa"/>
            <w:hMerge w:val="continue"/>
            <w:tcMar>
              <w:top w:type="dxa" w:w="60"/>
              <w:left w:type="dxa" w:w="120"/>
              <w:bottom w:type="dxa" w:w="30"/>
              <w:right w:type="dxa" w:w="120"/>
            </w:tcMar>
          </w:tcPr>
          <w:p>
            <w:pPr>
              <w:spacing w:before="120" w:after="120" w:line="288" w:lineRule="auto"/>
              <w:ind w:left="0"/>
              <w:jc w:val="left"/>
            </w:pPr>
          </w:p>
        </w:tc>
        <w:tc>
          <w:tcPr>
            <w:tcW w:w="765" w:type="dxa"/>
            <w:hMerge w:val="continue"/>
            <w:tcMar>
              <w:top w:type="dxa" w:w="60"/>
              <w:left w:type="dxa" w:w="120"/>
              <w:bottom w:type="dxa" w:w="30"/>
              <w:right w:type="dxa" w:w="120"/>
            </w:tcMar>
          </w:tcPr>
          <w:p>
            <w:pPr>
              <w:spacing w:before="120" w:after="120" w:line="288" w:lineRule="auto"/>
              <w:ind w:left="0"/>
              <w:jc w:val="left"/>
            </w:pPr>
          </w:p>
        </w:tc>
        <w:tc>
          <w:tcPr>
            <w:tcW w:w="765" w:type="dxa"/>
            <w:hMerge w:val="continue"/>
            <w:tcMar>
              <w:top w:type="dxa" w:w="60"/>
              <w:left w:type="dxa" w:w="120"/>
              <w:bottom w:type="dxa" w:w="30"/>
              <w:right w:type="dxa" w:w="120"/>
            </w:tcMar>
          </w:tcPr>
          <w:p>
            <w:pPr>
              <w:spacing w:before="120" w:after="120" w:line="288" w:lineRule="auto"/>
              <w:ind w:left="0"/>
              <w:jc w:val="left"/>
            </w:pPr>
          </w:p>
        </w:tc>
        <w:tc>
          <w:tcPr>
            <w:tcW w:w="2415" w:type="dxa"/>
            <w:hMerge w:val="continue"/>
            <w:tcMar>
              <w:top w:type="dxa" w:w="60"/>
              <w:left w:type="dxa" w:w="120"/>
              <w:bottom w:type="dxa" w:w="30"/>
              <w:right w:type="dxa" w:w="120"/>
            </w:tcMar>
          </w:tcPr>
          <w:p>
            <w:pPr>
              <w:spacing w:before="120" w:after="120" w:line="288" w:lineRule="auto"/>
              <w:ind w:left="0"/>
              <w:jc w:val="left"/>
            </w:pPr>
          </w:p>
        </w:tc>
      </w:tr>
      <w:tr>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流程输入</w:t>
            </w:r>
          </w:p>
        </w:tc>
        <w:tc>
          <w:tcPr>
            <w:tcW w:w="748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针对客户需求和客户痛点制定价值主张和赢单策略，制定客户认可的解决方案，制定并执行招标策略</w:t>
            </w:r>
          </w:p>
        </w:tc>
        <w:tc>
          <w:tcPr>
            <w:tcW w:w="765" w:type="dxa"/>
            <w:hMerge w:val="continue"/>
            <w:tcMar>
              <w:top w:type="dxa" w:w="60"/>
              <w:left w:type="dxa" w:w="120"/>
              <w:bottom w:type="dxa" w:w="30"/>
              <w:right w:type="dxa" w:w="120"/>
            </w:tcMar>
          </w:tcPr>
          <w:p>
            <w:pPr>
              <w:spacing w:before="120" w:after="120" w:line="288" w:lineRule="auto"/>
              <w:ind w:left="0"/>
              <w:jc w:val="left"/>
            </w:pPr>
          </w:p>
        </w:tc>
        <w:tc>
          <w:tcPr>
            <w:tcW w:w="765" w:type="dxa"/>
            <w:hMerge w:val="continue"/>
            <w:tcMar>
              <w:top w:type="dxa" w:w="60"/>
              <w:left w:type="dxa" w:w="120"/>
              <w:bottom w:type="dxa" w:w="30"/>
              <w:right w:type="dxa" w:w="120"/>
            </w:tcMar>
          </w:tcPr>
          <w:p>
            <w:pPr>
              <w:spacing w:before="120" w:after="120" w:line="288" w:lineRule="auto"/>
              <w:ind w:left="0"/>
              <w:jc w:val="left"/>
            </w:pPr>
          </w:p>
        </w:tc>
        <w:tc>
          <w:tcPr>
            <w:tcW w:w="765" w:type="dxa"/>
            <w:hMerge w:val="continue"/>
            <w:tcMar>
              <w:top w:type="dxa" w:w="60"/>
              <w:left w:type="dxa" w:w="120"/>
              <w:bottom w:type="dxa" w:w="30"/>
              <w:right w:type="dxa" w:w="120"/>
            </w:tcMar>
          </w:tcPr>
          <w:p>
            <w:pPr>
              <w:spacing w:before="120" w:after="120" w:line="288" w:lineRule="auto"/>
              <w:ind w:left="0"/>
              <w:jc w:val="left"/>
            </w:pPr>
          </w:p>
        </w:tc>
        <w:tc>
          <w:tcPr>
            <w:tcW w:w="2415" w:type="dxa"/>
            <w:hMerge w:val="continue"/>
            <w:tcMar>
              <w:top w:type="dxa" w:w="60"/>
              <w:left w:type="dxa" w:w="120"/>
              <w:bottom w:type="dxa" w:w="30"/>
              <w:right w:type="dxa" w:w="120"/>
            </w:tcMar>
          </w:tcPr>
          <w:p>
            <w:pPr>
              <w:spacing w:before="120" w:after="120" w:line="288" w:lineRule="auto"/>
              <w:ind w:left="0"/>
              <w:jc w:val="left"/>
            </w:pPr>
          </w:p>
        </w:tc>
      </w:tr>
      <w:tr>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输入标准</w:t>
            </w:r>
          </w:p>
        </w:tc>
        <w:tc>
          <w:tcPr>
            <w:tcW w:w="748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价值主张和赢单策略通过区域主管的审核确认，客户解决方案通过解决方案评审会的评审</w:t>
            </w:r>
          </w:p>
        </w:tc>
        <w:tc>
          <w:tcPr>
            <w:tcW w:w="765" w:type="dxa"/>
            <w:hMerge w:val="continue"/>
            <w:tcMar>
              <w:top w:type="dxa" w:w="60"/>
              <w:left w:type="dxa" w:w="120"/>
              <w:bottom w:type="dxa" w:w="30"/>
              <w:right w:type="dxa" w:w="120"/>
            </w:tcMar>
          </w:tcPr>
          <w:p>
            <w:pPr>
              <w:spacing w:before="120" w:after="120" w:line="288" w:lineRule="auto"/>
              <w:ind w:left="0"/>
              <w:jc w:val="left"/>
            </w:pPr>
          </w:p>
        </w:tc>
        <w:tc>
          <w:tcPr>
            <w:tcW w:w="765" w:type="dxa"/>
            <w:hMerge w:val="continue"/>
            <w:tcMar>
              <w:top w:type="dxa" w:w="60"/>
              <w:left w:type="dxa" w:w="120"/>
              <w:bottom w:type="dxa" w:w="30"/>
              <w:right w:type="dxa" w:w="120"/>
            </w:tcMar>
          </w:tcPr>
          <w:p>
            <w:pPr>
              <w:spacing w:before="120" w:after="120" w:line="288" w:lineRule="auto"/>
              <w:ind w:left="0"/>
              <w:jc w:val="left"/>
            </w:pPr>
          </w:p>
        </w:tc>
        <w:tc>
          <w:tcPr>
            <w:tcW w:w="765" w:type="dxa"/>
            <w:hMerge w:val="continue"/>
            <w:tcMar>
              <w:top w:type="dxa" w:w="60"/>
              <w:left w:type="dxa" w:w="120"/>
              <w:bottom w:type="dxa" w:w="30"/>
              <w:right w:type="dxa" w:w="120"/>
            </w:tcMar>
          </w:tcPr>
          <w:p>
            <w:pPr>
              <w:spacing w:before="120" w:after="120" w:line="288" w:lineRule="auto"/>
              <w:ind w:left="0"/>
              <w:jc w:val="left"/>
            </w:pPr>
          </w:p>
        </w:tc>
        <w:tc>
          <w:tcPr>
            <w:tcW w:w="2415" w:type="dxa"/>
            <w:hMerge w:val="continue"/>
            <w:tcMar>
              <w:top w:type="dxa" w:w="60"/>
              <w:left w:type="dxa" w:w="120"/>
              <w:bottom w:type="dxa" w:w="30"/>
              <w:right w:type="dxa" w:w="120"/>
            </w:tcMar>
          </w:tcPr>
          <w:p>
            <w:pPr>
              <w:spacing w:before="120" w:after="120" w:line="288" w:lineRule="auto"/>
              <w:ind w:left="0"/>
              <w:jc w:val="left"/>
            </w:pPr>
          </w:p>
        </w:tc>
      </w:tr>
      <w:tr>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流程输出</w:t>
            </w:r>
          </w:p>
        </w:tc>
        <w:tc>
          <w:tcPr>
            <w:tcW w:w="748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输出高质量的投标策略支持投标；</w:t>
            </w:r>
          </w:p>
        </w:tc>
        <w:tc>
          <w:tcPr>
            <w:tcW w:w="765" w:type="dxa"/>
            <w:hMerge w:val="continue"/>
            <w:tcMar>
              <w:top w:type="dxa" w:w="60"/>
              <w:left w:type="dxa" w:w="120"/>
              <w:bottom w:type="dxa" w:w="30"/>
              <w:right w:type="dxa" w:w="120"/>
            </w:tcMar>
          </w:tcPr>
          <w:p>
            <w:pPr>
              <w:spacing w:before="120" w:after="120" w:line="288" w:lineRule="auto"/>
              <w:ind w:left="0"/>
              <w:jc w:val="left"/>
            </w:pPr>
          </w:p>
        </w:tc>
        <w:tc>
          <w:tcPr>
            <w:tcW w:w="765" w:type="dxa"/>
            <w:hMerge w:val="continue"/>
            <w:tcMar>
              <w:top w:type="dxa" w:w="60"/>
              <w:left w:type="dxa" w:w="120"/>
              <w:bottom w:type="dxa" w:w="30"/>
              <w:right w:type="dxa" w:w="120"/>
            </w:tcMar>
          </w:tcPr>
          <w:p>
            <w:pPr>
              <w:spacing w:before="120" w:after="120" w:line="288" w:lineRule="auto"/>
              <w:ind w:left="0"/>
              <w:jc w:val="left"/>
            </w:pPr>
          </w:p>
        </w:tc>
        <w:tc>
          <w:tcPr>
            <w:tcW w:w="765" w:type="dxa"/>
            <w:hMerge w:val="continue"/>
            <w:tcMar>
              <w:top w:type="dxa" w:w="60"/>
              <w:left w:type="dxa" w:w="120"/>
              <w:bottom w:type="dxa" w:w="30"/>
              <w:right w:type="dxa" w:w="120"/>
            </w:tcMar>
          </w:tcPr>
          <w:p>
            <w:pPr>
              <w:spacing w:before="120" w:after="120" w:line="288" w:lineRule="auto"/>
              <w:ind w:left="0"/>
              <w:jc w:val="left"/>
            </w:pPr>
          </w:p>
        </w:tc>
        <w:tc>
          <w:tcPr>
            <w:tcW w:w="2415" w:type="dxa"/>
            <w:hMerge w:val="continue"/>
            <w:tcMar>
              <w:top w:type="dxa" w:w="60"/>
              <w:left w:type="dxa" w:w="120"/>
              <w:bottom w:type="dxa" w:w="30"/>
              <w:right w:type="dxa" w:w="120"/>
            </w:tcMar>
          </w:tcPr>
          <w:p>
            <w:pPr>
              <w:spacing w:before="120" w:after="120" w:line="288" w:lineRule="auto"/>
              <w:ind w:left="0"/>
              <w:jc w:val="left"/>
            </w:pPr>
          </w:p>
        </w:tc>
      </w:tr>
      <w:tr>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输出标准</w:t>
            </w:r>
          </w:p>
        </w:tc>
        <w:tc>
          <w:tcPr>
            <w:tcW w:w="748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确保策略落地、风险可控的投标策略</w:t>
            </w:r>
          </w:p>
        </w:tc>
        <w:tc>
          <w:tcPr>
            <w:tcW w:w="765" w:type="dxa"/>
            <w:hMerge w:val="continue"/>
            <w:tcMar>
              <w:top w:type="dxa" w:w="60"/>
              <w:left w:type="dxa" w:w="120"/>
              <w:bottom w:type="dxa" w:w="30"/>
              <w:right w:type="dxa" w:w="120"/>
            </w:tcMar>
          </w:tcPr>
          <w:p>
            <w:pPr>
              <w:spacing w:before="120" w:after="120" w:line="288" w:lineRule="auto"/>
              <w:ind w:left="0"/>
              <w:jc w:val="left"/>
            </w:pPr>
          </w:p>
        </w:tc>
        <w:tc>
          <w:tcPr>
            <w:tcW w:w="765" w:type="dxa"/>
            <w:hMerge w:val="continue"/>
            <w:tcMar>
              <w:top w:type="dxa" w:w="60"/>
              <w:left w:type="dxa" w:w="120"/>
              <w:bottom w:type="dxa" w:w="30"/>
              <w:right w:type="dxa" w:w="120"/>
            </w:tcMar>
          </w:tcPr>
          <w:p>
            <w:pPr>
              <w:spacing w:before="120" w:after="120" w:line="288" w:lineRule="auto"/>
              <w:ind w:left="0"/>
              <w:jc w:val="left"/>
            </w:pPr>
          </w:p>
        </w:tc>
        <w:tc>
          <w:tcPr>
            <w:tcW w:w="765" w:type="dxa"/>
            <w:hMerge w:val="continue"/>
            <w:tcMar>
              <w:top w:type="dxa" w:w="60"/>
              <w:left w:type="dxa" w:w="120"/>
              <w:bottom w:type="dxa" w:w="30"/>
              <w:right w:type="dxa" w:w="120"/>
            </w:tcMar>
          </w:tcPr>
          <w:p>
            <w:pPr>
              <w:spacing w:before="120" w:after="120" w:line="288" w:lineRule="auto"/>
              <w:ind w:left="0"/>
              <w:jc w:val="left"/>
            </w:pPr>
          </w:p>
        </w:tc>
        <w:tc>
          <w:tcPr>
            <w:tcW w:w="2415" w:type="dxa"/>
            <w:hMerge w:val="continue"/>
            <w:tcMar>
              <w:top w:type="dxa" w:w="60"/>
              <w:left w:type="dxa" w:w="120"/>
              <w:bottom w:type="dxa" w:w="30"/>
              <w:right w:type="dxa" w:w="120"/>
            </w:tcMar>
          </w:tcPr>
          <w:p>
            <w:pPr>
              <w:spacing w:before="120" w:after="120" w:line="288" w:lineRule="auto"/>
              <w:ind w:left="0"/>
              <w:jc w:val="left"/>
            </w:pPr>
          </w:p>
        </w:tc>
      </w:tr>
      <w:tr>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流程起点</w:t>
            </w:r>
          </w:p>
        </w:tc>
        <w:tc>
          <w:tcPr>
            <w:tcW w:w="748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已经生成正式的招标文件</w:t>
            </w:r>
          </w:p>
        </w:tc>
        <w:tc>
          <w:tcPr>
            <w:tcW w:w="765" w:type="dxa"/>
            <w:hMerge w:val="continue"/>
            <w:tcMar>
              <w:top w:type="dxa" w:w="60"/>
              <w:left w:type="dxa" w:w="120"/>
              <w:bottom w:type="dxa" w:w="30"/>
              <w:right w:type="dxa" w:w="120"/>
            </w:tcMar>
          </w:tcPr>
          <w:p>
            <w:pPr>
              <w:spacing w:before="120" w:after="120" w:line="288" w:lineRule="auto"/>
              <w:ind w:left="0"/>
              <w:jc w:val="left"/>
            </w:pPr>
          </w:p>
        </w:tc>
        <w:tc>
          <w:tcPr>
            <w:tcW w:w="765" w:type="dxa"/>
            <w:hMerge w:val="continue"/>
            <w:tcMar>
              <w:top w:type="dxa" w:w="60"/>
              <w:left w:type="dxa" w:w="120"/>
              <w:bottom w:type="dxa" w:w="30"/>
              <w:right w:type="dxa" w:w="120"/>
            </w:tcMar>
          </w:tcPr>
          <w:p>
            <w:pPr>
              <w:spacing w:before="120" w:after="120" w:line="288" w:lineRule="auto"/>
              <w:ind w:left="0"/>
              <w:jc w:val="left"/>
            </w:pPr>
          </w:p>
        </w:tc>
        <w:tc>
          <w:tcPr>
            <w:tcW w:w="765" w:type="dxa"/>
            <w:hMerge w:val="continue"/>
            <w:tcMar>
              <w:top w:type="dxa" w:w="60"/>
              <w:left w:type="dxa" w:w="120"/>
              <w:bottom w:type="dxa" w:w="30"/>
              <w:right w:type="dxa" w:w="120"/>
            </w:tcMar>
          </w:tcPr>
          <w:p>
            <w:pPr>
              <w:spacing w:before="120" w:after="120" w:line="288" w:lineRule="auto"/>
              <w:ind w:left="0"/>
              <w:jc w:val="left"/>
            </w:pPr>
          </w:p>
        </w:tc>
        <w:tc>
          <w:tcPr>
            <w:tcW w:w="2415" w:type="dxa"/>
            <w:hMerge w:val="continue"/>
            <w:tcMar>
              <w:top w:type="dxa" w:w="60"/>
              <w:left w:type="dxa" w:w="120"/>
              <w:bottom w:type="dxa" w:w="30"/>
              <w:right w:type="dxa" w:w="120"/>
            </w:tcMar>
          </w:tcPr>
          <w:p>
            <w:pPr>
              <w:spacing w:before="120" w:after="120" w:line="288" w:lineRule="auto"/>
              <w:ind w:left="0"/>
              <w:jc w:val="left"/>
            </w:pPr>
          </w:p>
        </w:tc>
      </w:tr>
      <w:tr>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流程终点</w:t>
            </w:r>
          </w:p>
        </w:tc>
        <w:tc>
          <w:tcPr>
            <w:tcW w:w="748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得到中标结果</w:t>
            </w:r>
          </w:p>
        </w:tc>
        <w:tc>
          <w:tcPr>
            <w:tcW w:w="765" w:type="dxa"/>
            <w:hMerge w:val="continue"/>
            <w:tcMar>
              <w:top w:type="dxa" w:w="60"/>
              <w:left w:type="dxa" w:w="120"/>
              <w:bottom w:type="dxa" w:w="30"/>
              <w:right w:type="dxa" w:w="120"/>
            </w:tcMar>
          </w:tcPr>
          <w:p>
            <w:pPr>
              <w:spacing w:before="120" w:after="120" w:line="288" w:lineRule="auto"/>
              <w:ind w:left="0"/>
              <w:jc w:val="left"/>
            </w:pPr>
          </w:p>
        </w:tc>
        <w:tc>
          <w:tcPr>
            <w:tcW w:w="765" w:type="dxa"/>
            <w:hMerge w:val="continue"/>
            <w:tcMar>
              <w:top w:type="dxa" w:w="60"/>
              <w:left w:type="dxa" w:w="120"/>
              <w:bottom w:type="dxa" w:w="30"/>
              <w:right w:type="dxa" w:w="120"/>
            </w:tcMar>
          </w:tcPr>
          <w:p>
            <w:pPr>
              <w:spacing w:before="120" w:after="120" w:line="288" w:lineRule="auto"/>
              <w:ind w:left="0"/>
              <w:jc w:val="left"/>
            </w:pPr>
          </w:p>
        </w:tc>
        <w:tc>
          <w:tcPr>
            <w:tcW w:w="765" w:type="dxa"/>
            <w:hMerge w:val="continue"/>
            <w:tcMar>
              <w:top w:type="dxa" w:w="60"/>
              <w:left w:type="dxa" w:w="120"/>
              <w:bottom w:type="dxa" w:w="30"/>
              <w:right w:type="dxa" w:w="120"/>
            </w:tcMar>
          </w:tcPr>
          <w:p>
            <w:pPr>
              <w:spacing w:before="120" w:after="120" w:line="288" w:lineRule="auto"/>
              <w:ind w:left="0"/>
              <w:jc w:val="left"/>
            </w:pPr>
          </w:p>
        </w:tc>
        <w:tc>
          <w:tcPr>
            <w:tcW w:w="2415" w:type="dxa"/>
            <w:hMerge w:val="continue"/>
            <w:tcMar>
              <w:top w:type="dxa" w:w="60"/>
              <w:left w:type="dxa" w:w="120"/>
              <w:bottom w:type="dxa" w:w="30"/>
              <w:right w:type="dxa" w:w="120"/>
            </w:tcMar>
          </w:tcPr>
          <w:p>
            <w:pPr>
              <w:spacing w:before="120" w:after="120" w:line="288" w:lineRule="auto"/>
              <w:ind w:left="0"/>
              <w:jc w:val="left"/>
            </w:pPr>
          </w:p>
        </w:tc>
      </w:tr>
      <w:tr>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流程绩效指标</w:t>
            </w:r>
          </w:p>
        </w:tc>
        <w:tc>
          <w:tcPr>
            <w:tcW w:w="748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中标率：</w:t>
            </w:r>
          </w:p>
          <w:p>
            <w:pPr>
              <w:numPr>
                <w:numId w:val="1"/>
              </w:numPr>
              <w:spacing w:before="120" w:after="120" w:line="288" w:lineRule="auto"/>
              <w:ind w:left="0"/>
              <w:jc w:val="left"/>
            </w:pPr>
            <w:r>
              <w:rPr>
                <w:rFonts w:eastAsia="等线" w:ascii="Arial" w:cs="Arial" w:hAnsi="Arial"/>
                <w:sz w:val="22"/>
              </w:rPr>
              <w:t>定义：通过执行制定好的投标策略，赢得项目的比例</w:t>
            </w:r>
          </w:p>
          <w:p>
            <w:pPr>
              <w:numPr>
                <w:numId w:val="2"/>
              </w:numPr>
              <w:spacing w:before="120" w:after="120" w:line="288" w:lineRule="auto"/>
              <w:ind w:left="0"/>
              <w:jc w:val="left"/>
            </w:pPr>
            <w:r>
              <w:rPr>
                <w:rFonts w:eastAsia="等线" w:ascii="Arial" w:cs="Arial" w:hAnsi="Arial"/>
                <w:sz w:val="22"/>
              </w:rPr>
              <w:t>计算方法：中标次数 / 参与投标总数 ×100%</w:t>
            </w:r>
          </w:p>
          <w:p>
            <w:pPr>
              <w:numPr>
                <w:numId w:val="3"/>
              </w:numPr>
              <w:spacing w:before="120" w:after="120" w:line="288" w:lineRule="auto"/>
              <w:ind w:left="0"/>
              <w:jc w:val="left"/>
            </w:pPr>
            <w:r>
              <w:rPr>
                <w:rFonts w:eastAsia="等线" w:ascii="Arial" w:cs="Arial" w:hAnsi="Arial"/>
                <w:sz w:val="22"/>
              </w:rPr>
              <w:t>重要性：中标率高可能意味着制定的投标策略、定价策略、技术方案等符合市场需求，反之则可能需要调整策略。</w:t>
            </w:r>
          </w:p>
        </w:tc>
        <w:tc>
          <w:tcPr>
            <w:tcW w:w="765" w:type="dxa"/>
            <w:hMerge w:val="continue"/>
            <w:tcMar>
              <w:top w:type="dxa" w:w="60"/>
              <w:left w:type="dxa" w:w="120"/>
              <w:bottom w:type="dxa" w:w="30"/>
              <w:right w:type="dxa" w:w="120"/>
            </w:tcMar>
          </w:tcPr>
          <w:p>
            <w:pPr>
              <w:spacing w:before="120" w:after="120" w:line="288" w:lineRule="auto"/>
              <w:ind w:left="0"/>
              <w:jc w:val="left"/>
            </w:pPr>
          </w:p>
        </w:tc>
        <w:tc>
          <w:tcPr>
            <w:tcW w:w="765" w:type="dxa"/>
            <w:hMerge w:val="continue"/>
            <w:tcMar>
              <w:top w:type="dxa" w:w="60"/>
              <w:left w:type="dxa" w:w="120"/>
              <w:bottom w:type="dxa" w:w="30"/>
              <w:right w:type="dxa" w:w="120"/>
            </w:tcMar>
          </w:tcPr>
          <w:p>
            <w:pPr>
              <w:spacing w:before="120" w:after="120" w:line="288" w:lineRule="auto"/>
              <w:ind w:left="0"/>
              <w:jc w:val="left"/>
            </w:pPr>
          </w:p>
        </w:tc>
        <w:tc>
          <w:tcPr>
            <w:tcW w:w="765" w:type="dxa"/>
            <w:hMerge w:val="continue"/>
            <w:tcMar>
              <w:top w:type="dxa" w:w="60"/>
              <w:left w:type="dxa" w:w="120"/>
              <w:bottom w:type="dxa" w:w="30"/>
              <w:right w:type="dxa" w:w="120"/>
            </w:tcMar>
          </w:tcPr>
          <w:p>
            <w:pPr>
              <w:spacing w:before="120" w:after="120" w:line="288" w:lineRule="auto"/>
              <w:ind w:left="0"/>
              <w:jc w:val="left"/>
            </w:pPr>
          </w:p>
        </w:tc>
        <w:tc>
          <w:tcPr>
            <w:tcW w:w="2415" w:type="dxa"/>
            <w:hMerge w:val="continue"/>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9" w:id="9"/>
      <w:r>
        <w:rPr>
          <w:rFonts w:eastAsia="等线" w:ascii="Arial" w:cs="Arial" w:hAnsi="Arial"/>
          <w:color w:val="3370ff"/>
          <w:sz w:val="32"/>
        </w:rPr>
        <w:t xml:space="preserve">5.2 </w:t>
      </w:r>
      <w:r>
        <w:rPr>
          <w:rFonts w:eastAsia="等线" w:ascii="Arial" w:cs="Arial" w:hAnsi="Arial"/>
          <w:b w:val="true"/>
          <w:sz w:val="32"/>
        </w:rPr>
        <w:t>流程图及说明</w:t>
      </w:r>
      <w:bookmarkEnd w:id="9"/>
    </w:p>
    <w:p>
      <w:pPr>
        <w:pStyle w:val="3"/>
        <w:spacing w:before="300" w:after="120" w:line="288" w:lineRule="auto"/>
        <w:ind w:left="453"/>
        <w:jc w:val="left"/>
        <w:outlineLvl w:val="2"/>
      </w:pPr>
      <w:bookmarkStart w:name="heading_10" w:id="10"/>
      <w:r>
        <w:rPr>
          <w:rFonts w:eastAsia="等线" w:ascii="Arial" w:cs="Arial" w:hAnsi="Arial"/>
          <w:color w:val="3370ff"/>
          <w:sz w:val="30"/>
        </w:rPr>
        <w:t xml:space="preserve">5.2.1 </w:t>
      </w:r>
      <w:r>
        <w:rPr>
          <w:rFonts w:eastAsia="等线" w:ascii="Arial" w:cs="Arial" w:hAnsi="Arial"/>
          <w:b w:val="true"/>
          <w:sz w:val="30"/>
        </w:rPr>
        <w:t>L2键盘图</w:t>
      </w:r>
      <w:bookmarkEnd w:id="10"/>
    </w:p>
    <w:p>
      <w:pPr>
        <w:spacing w:before="120" w:after="120" w:line="288" w:lineRule="auto"/>
        <w:ind w:left="453"/>
        <w:jc w:val="center"/>
      </w:pPr>
      <w:r>
        <w:drawing>
          <wp:inline distT="0" distR="0" distB="0" distL="0">
            <wp:extent cx="5257800" cy="21812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181225"/>
                    </a:xfrm>
                    <a:prstGeom prst="rect">
                      <a:avLst/>
                    </a:prstGeom>
                  </pic:spPr>
                </pic:pic>
              </a:graphicData>
            </a:graphic>
          </wp:inline>
        </w:drawing>
      </w:r>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5.2.2 </w:t>
      </w:r>
      <w:r>
        <w:rPr>
          <w:rFonts w:eastAsia="等线" w:ascii="Arial" w:cs="Arial" w:hAnsi="Arial"/>
          <w:b w:val="true"/>
          <w:sz w:val="30"/>
        </w:rPr>
        <w:t>L2流程图</w:t>
      </w:r>
      <w:bookmarkEnd w:id="11"/>
    </w:p>
    <w:p>
      <w:pPr>
        <w:spacing w:before="120" w:after="120" w:line="288" w:lineRule="auto"/>
        <w:ind w:left="0"/>
        <w:jc w:val="center"/>
      </w:pPr>
      <w:r>
        <w:drawing>
          <wp:inline distT="0" distR="0" distB="0" distL="0">
            <wp:extent cx="5257800" cy="21431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143125"/>
                    </a:xfrm>
                    <a:prstGeom prst="rect">
                      <a:avLst/>
                    </a:prstGeom>
                  </pic:spPr>
                </pic:pic>
              </a:graphicData>
            </a:graphic>
          </wp:inline>
        </w:drawing>
      </w:r>
    </w:p>
    <w:p>
      <w:pPr>
        <w:pStyle w:val="3"/>
        <w:spacing w:before="300" w:after="120" w:line="288" w:lineRule="auto"/>
        <w:ind w:left="0"/>
        <w:jc w:val="left"/>
        <w:outlineLvl w:val="2"/>
      </w:pPr>
      <w:bookmarkStart w:name="heading_12" w:id="12"/>
      <w:r>
        <w:rPr>
          <w:rFonts w:eastAsia="等线" w:ascii="Arial" w:cs="Arial" w:hAnsi="Arial"/>
          <w:color w:val="3370ff"/>
          <w:sz w:val="30"/>
        </w:rPr>
        <w:t xml:space="preserve">5.2.3 </w:t>
      </w:r>
      <w:r>
        <w:rPr>
          <w:rFonts w:eastAsia="等线" w:ascii="Arial" w:cs="Arial" w:hAnsi="Arial"/>
          <w:b w:val="true"/>
          <w:sz w:val="30"/>
        </w:rPr>
        <w:t>L3示意图</w:t>
      </w:r>
      <w:bookmarkEnd w:id="12"/>
    </w:p>
    <w:p>
      <w:pPr>
        <w:spacing w:before="120" w:after="120" w:line="288" w:lineRule="auto"/>
        <w:ind w:left="0"/>
        <w:jc w:val="left"/>
      </w:pPr>
    </w:p>
    <w:p>
      <w:pPr>
        <w:spacing w:before="120" w:after="120" w:line="288" w:lineRule="auto"/>
        <w:ind w:left="0"/>
        <w:jc w:val="center"/>
      </w:pPr>
      <w:r>
        <w:drawing>
          <wp:inline distT="0" distR="0" distB="0" distL="0">
            <wp:extent cx="5257800" cy="21621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162175"/>
                    </a:xfrm>
                    <a:prstGeom prst="rect">
                      <a:avLst/>
                    </a:prstGeom>
                  </pic:spPr>
                </pic:pic>
              </a:graphicData>
            </a:graphic>
          </wp:inline>
        </w:drawing>
      </w:r>
    </w:p>
    <w:p>
      <w:pPr>
        <w:pStyle w:val="3"/>
        <w:spacing w:before="300" w:after="120" w:line="288" w:lineRule="auto"/>
        <w:ind w:left="0"/>
        <w:jc w:val="left"/>
        <w:outlineLvl w:val="2"/>
      </w:pPr>
      <w:bookmarkStart w:name="heading_13" w:id="13"/>
      <w:r>
        <w:rPr>
          <w:rFonts w:eastAsia="等线" w:ascii="Arial" w:cs="Arial" w:hAnsi="Arial"/>
          <w:color w:val="3370ff"/>
          <w:sz w:val="30"/>
        </w:rPr>
        <w:t xml:space="preserve">5.2.4 </w:t>
      </w:r>
      <w:r>
        <w:rPr>
          <w:rFonts w:eastAsia="等线" w:ascii="Arial" w:cs="Arial" w:hAnsi="Arial"/>
          <w:b w:val="true"/>
          <w:sz w:val="30"/>
        </w:rPr>
        <w:t>L3流程图</w:t>
      </w:r>
      <w:bookmarkEnd w:id="13"/>
    </w:p>
    <w:p>
      <w:pPr>
        <w:spacing w:before="120" w:after="120" w:line="288" w:lineRule="auto"/>
        <w:ind w:left="0"/>
        <w:jc w:val="left"/>
      </w:pPr>
      <w:r>
        <w:rPr>
          <w:rFonts w:eastAsia="等线" w:ascii="Arial" w:cs="Arial" w:hAnsi="Arial"/>
          <w:sz w:val="22"/>
        </w:rPr>
        <w:t>制定并执行投标策略主流程：</w:t>
      </w:r>
    </w:p>
    <w:p>
      <w:pPr>
        <w:spacing w:before="120" w:after="120" w:line="288" w:lineRule="auto"/>
        <w:ind w:left="0"/>
        <w:jc w:val="center"/>
      </w:pPr>
      <w:r>
        <w:drawing>
          <wp:inline distT="0" distR="0" distB="0" distL="0">
            <wp:extent cx="5257800" cy="41719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41719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特价审批流程：</w:t>
      </w:r>
    </w:p>
    <w:p>
      <w:pPr>
        <w:spacing w:before="120" w:after="120" w:line="288" w:lineRule="auto"/>
        <w:ind w:left="0"/>
        <w:jc w:val="center"/>
      </w:pPr>
      <w:r>
        <w:drawing>
          <wp:inline distT="0" distR="0" distB="0" distL="0">
            <wp:extent cx="5257800" cy="40576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4057650"/>
                    </a:xfrm>
                    <a:prstGeom prst="rect">
                      <a:avLst/>
                    </a:prstGeom>
                  </pic:spPr>
                </pic:pic>
              </a:graphicData>
            </a:graphic>
          </wp:inline>
        </w:drawing>
      </w:r>
    </w:p>
    <w:p>
      <w:pPr>
        <w:pStyle w:val="3"/>
        <w:spacing w:before="300" w:after="120" w:line="288" w:lineRule="auto"/>
        <w:ind w:left="0"/>
        <w:jc w:val="left"/>
        <w:outlineLvl w:val="2"/>
      </w:pPr>
      <w:bookmarkStart w:name="heading_14" w:id="14"/>
      <w:r>
        <w:rPr>
          <w:rFonts w:eastAsia="等线" w:ascii="Arial" w:cs="Arial" w:hAnsi="Arial"/>
          <w:color w:val="3370ff"/>
          <w:sz w:val="30"/>
        </w:rPr>
        <w:t xml:space="preserve">5.2.5 </w:t>
      </w:r>
      <w:r>
        <w:rPr>
          <w:rFonts w:eastAsia="等线" w:ascii="Arial" w:cs="Arial" w:hAnsi="Arial"/>
          <w:b w:val="true"/>
          <w:sz w:val="30"/>
        </w:rPr>
        <w:t>流程说明（基于L3关键活动）</w:t>
      </w:r>
      <w:bookmarkEnd w:id="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0"/>
        <w:gridCol w:w="705"/>
        <w:gridCol w:w="420"/>
        <w:gridCol w:w="1215"/>
        <w:gridCol w:w="540"/>
        <w:gridCol w:w="540"/>
        <w:gridCol w:w="540"/>
        <w:gridCol w:w="435"/>
        <w:gridCol w:w="990"/>
        <w:gridCol w:w="540"/>
        <w:gridCol w:w="825"/>
        <w:gridCol w:w="660"/>
        <w:gridCol w:w="540"/>
      </w:tblGrid>
      <w:tr>
        <w:tc>
          <w:tcPr>
            <w:tcW w:w="2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编号</w:t>
            </w:r>
          </w:p>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活动/子流程</w:t>
            </w: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执行角色/岗位</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流程活动说明</w:t>
            </w:r>
          </w:p>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是否有KCP/KDP</w:t>
            </w:r>
          </w:p>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输入标准</w:t>
            </w:r>
          </w:p>
          <w:p>
            <w:pPr>
              <w:spacing w:before="120" w:after="120" w:line="288" w:lineRule="auto"/>
              <w:ind w:left="0"/>
              <w:jc w:val="left"/>
            </w:pP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输出标准</w:t>
            </w:r>
          </w:p>
          <w:p>
            <w:pPr>
              <w:spacing w:before="120" w:after="120" w:line="288" w:lineRule="auto"/>
              <w:ind w:left="0"/>
              <w:jc w:val="left"/>
            </w:pPr>
            <w:r>
              <w:rPr>
                <w:rFonts w:eastAsia="等线" w:ascii="Arial" w:cs="Arial" w:hAnsi="Arial"/>
                <w:sz w:val="22"/>
              </w:rPr>
              <w:t>（良品条件）</w:t>
            </w:r>
          </w:p>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活动难点/关键点说明</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业务变化点说明（与之前的主要变化点）</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指导书</w:t>
            </w:r>
          </w:p>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工作模板</w:t>
            </w:r>
          </w:p>
          <w:p>
            <w:pPr>
              <w:spacing w:before="120" w:after="120" w:line="288" w:lineRule="auto"/>
              <w:ind w:left="0"/>
              <w:jc w:val="left"/>
            </w:pPr>
          </w:p>
        </w:tc>
      </w:tr>
      <w:tr>
        <w:tc>
          <w:tcPr>
            <w:tcW w:w="2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p>
            <w:pPr>
              <w:spacing w:before="120" w:after="120" w:line="288" w:lineRule="auto"/>
              <w:ind w:left="0"/>
              <w:jc w:val="center"/>
            </w:pP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获取标书</w:t>
            </w:r>
          </w:p>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客户关系负责人</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通过官方公开渠道、合作伙伴、客户直接沟通、技术工具等方式获取正式标书</w:t>
            </w:r>
          </w:p>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已生成的招标文件</w:t>
            </w:r>
          </w:p>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正式文件</w:t>
            </w: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完整的招标文件</w:t>
            </w:r>
          </w:p>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招标文件需包含技术规范、商务条款、资质要求、服务要求四部分</w:t>
            </w:r>
          </w:p>
        </w:tc>
        <w:tc>
          <w:tcPr>
            <w:tcW w:w="540"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660"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p>
        </w:tc>
      </w:tr>
      <w:tr>
        <w:tc>
          <w:tcPr>
            <w:tcW w:w="27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70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分析标书</w:t>
            </w: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技术负责人</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1.售前拿到标书后针对参数进行分析，评估技术可行性，我司是否满足参数要求，输出技术偏离表，针对不满足的要设定应对策略；</w:t>
            </w:r>
          </w:p>
          <w:p>
            <w:pPr>
              <w:spacing w:before="120" w:after="120" w:line="288" w:lineRule="auto"/>
              <w:ind w:left="0"/>
              <w:jc w:val="left"/>
            </w:pPr>
            <w:r>
              <w:rPr>
                <w:rFonts w:eastAsia="等线" w:ascii="Arial" w:cs="Arial" w:hAnsi="Arial"/>
                <w:sz w:val="22"/>
              </w:rPr>
              <w:t>2.依据参数配置我司最优的产品清单以及主要竞争对手的产品清单，输出竞争分析表；</w:t>
            </w:r>
          </w:p>
          <w:p>
            <w:pPr>
              <w:spacing w:before="120" w:after="120" w:line="288" w:lineRule="auto"/>
              <w:ind w:left="0"/>
              <w:jc w:val="left"/>
            </w:pPr>
            <w:r>
              <w:rPr>
                <w:rFonts w:eastAsia="等线" w:ascii="Arial" w:cs="Arial" w:hAnsi="Arial"/>
                <w:sz w:val="22"/>
              </w:rPr>
              <w:t>3.对评分细则进行分析，结合竞争分析表，输出项目的模拟打分表</w:t>
            </w:r>
          </w:p>
          <w:p>
            <w:pPr>
              <w:spacing w:before="120" w:after="120" w:line="288" w:lineRule="auto"/>
              <w:ind w:left="0"/>
              <w:jc w:val="left"/>
            </w:pPr>
            <w:r>
              <w:rPr>
                <w:rFonts w:eastAsia="等线" w:ascii="Arial" w:cs="Arial" w:hAnsi="Arial"/>
                <w:sz w:val="22"/>
              </w:rPr>
              <w:t>4.针对整体招标文件的要求，制定我司的解决方案</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完整的招标文件</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招标文件需包含技术规范、商务条款、资质要求</w:t>
            </w: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竞争分析，技术偏离表以及解决方案</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竞争分析合理、技术偏离表准确、解决方案符合标书要求</w:t>
            </w:r>
          </w:p>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竞争分析准确性</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有专门的侦听流程，输出竞争分析速查表，保证竞争分析准确性</w:t>
            </w:r>
          </w:p>
        </w:tc>
        <w:tc>
          <w:tcPr>
            <w:tcW w:w="660" w:type="dxa"/>
            <w:tcMar>
              <w:top w:type="dxa" w:w="60"/>
              <w:left w:type="dxa" w:w="120"/>
              <w:bottom w:type="dxa" w:w="30"/>
              <w:right w:type="dxa" w:w="120"/>
            </w:tcMar>
          </w:tcPr>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p>
        </w:tc>
      </w:tr>
      <w:tr>
        <w:tc>
          <w:tcPr>
            <w:tcW w:w="270" w:type="dxa"/>
            <w:vMerge w:val="continue"/>
            <w:tcMar>
              <w:top w:type="dxa" w:w="60"/>
              <w:left w:type="dxa" w:w="120"/>
              <w:bottom w:type="dxa" w:w="30"/>
              <w:right w:type="dxa" w:w="120"/>
            </w:tcMar>
          </w:tcPr>
          <w:p>
            <w:pPr>
              <w:spacing w:before="120" w:after="120" w:line="288" w:lineRule="auto"/>
              <w:ind w:left="0"/>
              <w:jc w:val="left"/>
            </w:pPr>
          </w:p>
        </w:tc>
        <w:tc>
          <w:tcPr>
            <w:tcW w:w="705" w:type="dxa"/>
            <w:vMerge w:val="continue"/>
            <w:tcMar>
              <w:top w:type="dxa" w:w="60"/>
              <w:left w:type="dxa" w:w="120"/>
              <w:bottom w:type="dxa" w:w="30"/>
              <w:right w:type="dxa" w:w="120"/>
            </w:tcMar>
          </w:tcPr>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客户体验负责人</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1.售后拿到标书后针对标书中的服务要求进行分析，输出我司的技术服务方案</w:t>
            </w:r>
          </w:p>
          <w:p>
            <w:pPr>
              <w:spacing w:before="120" w:after="120" w:line="288" w:lineRule="auto"/>
              <w:ind w:left="0"/>
              <w:jc w:val="left"/>
            </w:pPr>
            <w:r>
              <w:rPr>
                <w:rFonts w:eastAsia="等线" w:ascii="Arial" w:cs="Arial" w:hAnsi="Arial"/>
                <w:sz w:val="22"/>
              </w:rPr>
              <w:t>2.依据标书中的技术需求和售前输出的产品清单评估后续交付难度，给出交付建议</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1.完整的招标文件</w:t>
            </w:r>
          </w:p>
          <w:p>
            <w:pPr>
              <w:spacing w:before="120" w:after="120" w:line="288" w:lineRule="auto"/>
              <w:ind w:left="0"/>
              <w:jc w:val="left"/>
            </w:pPr>
            <w:r>
              <w:rPr>
                <w:rFonts w:eastAsia="等线" w:ascii="Arial" w:cs="Arial" w:hAnsi="Arial"/>
                <w:sz w:val="22"/>
              </w:rPr>
              <w:t>2.售前配置的产品清单</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1.招标文件包含完整服务要求</w:t>
            </w:r>
          </w:p>
          <w:p>
            <w:pPr>
              <w:spacing w:before="120" w:after="120" w:line="288" w:lineRule="auto"/>
              <w:ind w:left="0"/>
              <w:jc w:val="left"/>
            </w:pPr>
            <w:r>
              <w:rPr>
                <w:rFonts w:eastAsia="等线" w:ascii="Arial" w:cs="Arial" w:hAnsi="Arial"/>
                <w:sz w:val="22"/>
              </w:rPr>
              <w:t>2.售前配置的清单合理</w:t>
            </w: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1.技术服务方案</w:t>
            </w:r>
          </w:p>
          <w:p>
            <w:pPr>
              <w:spacing w:before="120" w:after="120" w:line="288" w:lineRule="auto"/>
              <w:ind w:left="0"/>
              <w:jc w:val="left"/>
            </w:pPr>
            <w:r>
              <w:rPr>
                <w:rFonts w:eastAsia="等线" w:ascii="Arial" w:cs="Arial" w:hAnsi="Arial"/>
                <w:sz w:val="22"/>
              </w:rPr>
              <w:t>2.服务交付建议</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1.技术服务方案合理</w:t>
            </w:r>
          </w:p>
          <w:p>
            <w:pPr>
              <w:spacing w:before="120" w:after="120" w:line="288" w:lineRule="auto"/>
              <w:ind w:left="0"/>
              <w:jc w:val="left"/>
            </w:pPr>
            <w:r>
              <w:rPr>
                <w:rFonts w:eastAsia="等线" w:ascii="Arial" w:cs="Arial" w:hAnsi="Arial"/>
                <w:sz w:val="22"/>
              </w:rPr>
              <w:t>2.服务交付建议合理</w:t>
            </w:r>
          </w:p>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660" w:type="dxa"/>
            <w:tcMar>
              <w:top w:type="dxa" w:w="60"/>
              <w:left w:type="dxa" w:w="120"/>
              <w:bottom w:type="dxa" w:w="30"/>
              <w:right w:type="dxa" w:w="120"/>
            </w:tcMar>
          </w:tcPr>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p>
        </w:tc>
      </w:tr>
      <w:tr>
        <w:tc>
          <w:tcPr>
            <w:tcW w:w="270" w:type="dxa"/>
            <w:vMerge w:val="continue"/>
            <w:tcMar>
              <w:top w:type="dxa" w:w="60"/>
              <w:left w:type="dxa" w:w="120"/>
              <w:bottom w:type="dxa" w:w="30"/>
              <w:right w:type="dxa" w:w="120"/>
            </w:tcMar>
          </w:tcPr>
          <w:p>
            <w:pPr>
              <w:spacing w:before="120" w:after="120" w:line="288" w:lineRule="auto"/>
              <w:ind w:left="0"/>
              <w:jc w:val="left"/>
            </w:pPr>
          </w:p>
        </w:tc>
        <w:tc>
          <w:tcPr>
            <w:tcW w:w="705" w:type="dxa"/>
            <w:vMerge w:val="continue"/>
            <w:tcMar>
              <w:top w:type="dxa" w:w="60"/>
              <w:left w:type="dxa" w:w="120"/>
              <w:bottom w:type="dxa" w:w="30"/>
              <w:right w:type="dxa" w:w="120"/>
            </w:tcMar>
          </w:tcPr>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客户关系负责人</w:t>
            </w:r>
          </w:p>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1.针对标书中的商务条款和资质要求进行分析，输出应对策略</w:t>
            </w:r>
          </w:p>
          <w:p>
            <w:pPr>
              <w:spacing w:before="120" w:after="120" w:line="288" w:lineRule="auto"/>
              <w:ind w:left="0"/>
              <w:jc w:val="left"/>
            </w:pPr>
            <w:r>
              <w:rPr>
                <w:rFonts w:eastAsia="等线" w:ascii="Arial" w:cs="Arial" w:hAnsi="Arial"/>
                <w:sz w:val="22"/>
              </w:rPr>
              <w:t>2.竞争对手的情报进行搜集，同类型项目的历史中标价、同客户的历史成交价、在客户端的支点等信息</w:t>
            </w:r>
          </w:p>
          <w:p>
            <w:pPr>
              <w:spacing w:before="120" w:after="120" w:line="288" w:lineRule="auto"/>
              <w:ind w:left="0"/>
              <w:jc w:val="left"/>
            </w:pPr>
            <w:r>
              <w:rPr>
                <w:rFonts w:eastAsia="等线" w:ascii="Arial" w:cs="Arial" w:hAnsi="Arial"/>
                <w:sz w:val="22"/>
              </w:rPr>
              <w:t>3.依据售前提供的竞争分析和历史报价分析，输出我们的预估投标价格和对应折扣</w:t>
            </w:r>
          </w:p>
          <w:p>
            <w:pPr>
              <w:spacing w:before="120" w:after="120" w:line="288" w:lineRule="auto"/>
              <w:ind w:left="0"/>
              <w:jc w:val="left"/>
            </w:pPr>
            <w:r>
              <w:rPr>
                <w:rFonts w:eastAsia="等线" w:ascii="Arial" w:cs="Arial" w:hAnsi="Arial"/>
                <w:sz w:val="22"/>
              </w:rPr>
              <w:t>4.整合所有信息，输出模拟打分</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1.完整的招标文件</w:t>
            </w:r>
          </w:p>
          <w:p>
            <w:pPr>
              <w:spacing w:before="120" w:after="120" w:line="288" w:lineRule="auto"/>
              <w:ind w:left="0"/>
              <w:jc w:val="left"/>
            </w:pPr>
            <w:r>
              <w:rPr>
                <w:rFonts w:eastAsia="等线" w:ascii="Arial" w:cs="Arial" w:hAnsi="Arial"/>
                <w:sz w:val="22"/>
              </w:rPr>
              <w:t>2.竞争分析</w:t>
            </w:r>
          </w:p>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招标文件包含完整的商务条款要求，竞争分析合理</w:t>
            </w:r>
          </w:p>
          <w:p>
            <w:pPr>
              <w:spacing w:before="120" w:after="120" w:line="288" w:lineRule="auto"/>
              <w:ind w:left="0"/>
              <w:jc w:val="left"/>
            </w:pP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模拟打分表</w:t>
            </w:r>
          </w:p>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模拟打分相对准确</w:t>
            </w:r>
          </w:p>
        </w:tc>
        <w:tc>
          <w:tcPr>
            <w:tcW w:w="540"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660" w:type="dxa"/>
            <w:tcMar>
              <w:top w:type="dxa" w:w="60"/>
              <w:left w:type="dxa" w:w="120"/>
              <w:bottom w:type="dxa" w:w="30"/>
              <w:right w:type="dxa" w:w="120"/>
            </w:tcMar>
          </w:tcPr>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p>
        </w:tc>
      </w:tr>
      <w:tr>
        <w:tc>
          <w:tcPr>
            <w:tcW w:w="2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p>
            <w:pPr>
              <w:spacing w:before="120" w:after="120" w:line="288" w:lineRule="auto"/>
              <w:ind w:left="0"/>
              <w:jc w:val="center"/>
            </w:pP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制定投标策略</w:t>
            </w:r>
          </w:p>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项目经理</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1.飞书组建项目群，把项目涉及的人员拉入群内，组建项目组；</w:t>
            </w:r>
          </w:p>
          <w:p>
            <w:pPr>
              <w:spacing w:before="120" w:after="120" w:line="288" w:lineRule="auto"/>
              <w:ind w:left="0"/>
              <w:jc w:val="left"/>
            </w:pPr>
            <w:r>
              <w:rPr>
                <w:rFonts w:eastAsia="等线" w:ascii="Arial" w:cs="Arial" w:hAnsi="Arial"/>
                <w:sz w:val="22"/>
              </w:rPr>
              <w:t>2.结合项目组成员输出的内容，整合信息，梳理出拟定的投标策略，整理投标策略规划书</w:t>
            </w:r>
          </w:p>
          <w:p>
            <w:pPr>
              <w:spacing w:before="120" w:after="120" w:line="288" w:lineRule="auto"/>
              <w:ind w:left="0"/>
              <w:jc w:val="left"/>
            </w:pPr>
            <w:r>
              <w:rPr>
                <w:rFonts w:eastAsia="等线" w:ascii="Arial" w:cs="Arial" w:hAnsi="Arial"/>
                <w:sz w:val="22"/>
              </w:rPr>
              <w:t>3.重点事项或者有异议的内容需要组织内部协同会议，对齐信息</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模拟打分表，竞争分析，技术偏离表以及解决方案，技术服务要求</w:t>
            </w:r>
          </w:p>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竞争分析合理、技术偏离表准确、解决方案符合标书要求、技术服务方案合理，服务成本评估准确，模拟打分合理</w:t>
            </w: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《投标策略规划书》</w:t>
            </w:r>
          </w:p>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跟项目组成员共同制定的投标策略</w:t>
            </w:r>
          </w:p>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660" w:type="dxa"/>
            <w:tcMar>
              <w:top w:type="dxa" w:w="60"/>
              <w:left w:type="dxa" w:w="120"/>
              <w:bottom w:type="dxa" w:w="30"/>
              <w:right w:type="dxa" w:w="120"/>
            </w:tcMar>
          </w:tcPr>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p>
        </w:tc>
      </w:tr>
      <w:tr>
        <w:tc>
          <w:tcPr>
            <w:tcW w:w="2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评审投标策略</w:t>
            </w:r>
          </w:p>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项目评审委员会</w:t>
            </w:r>
          </w:p>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项目经理：</w:t>
            </w:r>
          </w:p>
          <w:p>
            <w:pPr>
              <w:spacing w:before="120" w:after="120" w:line="288" w:lineRule="auto"/>
              <w:ind w:left="0"/>
              <w:jc w:val="left"/>
            </w:pPr>
            <w:r>
              <w:rPr>
                <w:rFonts w:eastAsia="等线" w:ascii="Arial" w:cs="Arial" w:hAnsi="Arial"/>
                <w:sz w:val="22"/>
              </w:rPr>
              <w:t>1.协调项目组成员时间，发起项目评审会；</w:t>
            </w:r>
          </w:p>
          <w:p>
            <w:pPr>
              <w:spacing w:before="120" w:after="120" w:line="288" w:lineRule="auto"/>
              <w:ind w:left="0"/>
              <w:jc w:val="left"/>
            </w:pPr>
            <w:r>
              <w:rPr>
                <w:rFonts w:eastAsia="等线" w:ascii="Arial" w:cs="Arial" w:hAnsi="Arial"/>
                <w:sz w:val="22"/>
              </w:rPr>
              <w:t>2.组织评审会，针对各板块内容进行讲解；</w:t>
            </w:r>
          </w:p>
          <w:p>
            <w:pPr>
              <w:spacing w:before="120" w:after="120" w:line="288" w:lineRule="auto"/>
              <w:ind w:left="0"/>
              <w:jc w:val="left"/>
            </w:pPr>
            <w:r>
              <w:rPr>
                <w:rFonts w:eastAsia="等线" w:ascii="Arial" w:cs="Arial" w:hAnsi="Arial"/>
                <w:sz w:val="22"/>
              </w:rPr>
              <w:t>3.汇总各方针对投标策略的分歧点并推动进行决策；</w:t>
            </w:r>
          </w:p>
          <w:p>
            <w:pPr>
              <w:spacing w:before="120" w:after="120" w:line="288" w:lineRule="auto"/>
              <w:ind w:left="0"/>
              <w:jc w:val="left"/>
            </w:pPr>
            <w:r>
              <w:rPr>
                <w:rFonts w:eastAsia="等线" w:ascii="Arial" w:cs="Arial" w:hAnsi="Arial"/>
                <w:sz w:val="22"/>
              </w:rPr>
              <w:t>4.跟踪策略修订闭环，推动策略执行；</w:t>
            </w:r>
          </w:p>
          <w:p>
            <w:pPr>
              <w:spacing w:before="120" w:after="120" w:line="288" w:lineRule="auto"/>
              <w:ind w:left="0"/>
              <w:jc w:val="left"/>
            </w:pPr>
            <w:r>
              <w:rPr>
                <w:rFonts w:eastAsia="等线" w:ascii="Arial" w:cs="Arial" w:hAnsi="Arial"/>
                <w:sz w:val="22"/>
              </w:rPr>
              <w:t>5</w:t>
            </w:r>
            <w:r>
              <w:rPr>
                <w:rFonts w:eastAsia="等线" w:ascii="Arial" w:cs="Arial" w:hAnsi="Arial"/>
                <w:sz w:val="22"/>
              </w:rPr>
              <w:t>.跟进客户关系负责人提交特价申请</w:t>
            </w:r>
          </w:p>
          <w:p>
            <w:pPr>
              <w:spacing w:before="120" w:after="120" w:line="288" w:lineRule="auto"/>
              <w:ind w:left="0"/>
              <w:jc w:val="left"/>
            </w:pPr>
            <w:r>
              <w:rPr>
                <w:rFonts w:eastAsia="等线" w:ascii="Arial" w:cs="Arial" w:hAnsi="Arial"/>
                <w:sz w:val="22"/>
              </w:rPr>
              <w:t>高层决策：</w:t>
            </w:r>
          </w:p>
          <w:p>
            <w:pPr>
              <w:spacing w:before="120" w:after="120" w:line="288" w:lineRule="auto"/>
              <w:ind w:left="0"/>
              <w:jc w:val="left"/>
            </w:pPr>
            <w:r>
              <w:rPr>
                <w:rFonts w:eastAsia="等线" w:ascii="Arial" w:cs="Arial" w:hAnsi="Arial"/>
                <w:sz w:val="22"/>
              </w:rPr>
              <w:t>1.针对项目组成员输出的投标策略进行评估，给出合理建议；</w:t>
            </w:r>
          </w:p>
          <w:p>
            <w:pPr>
              <w:spacing w:before="120" w:after="120" w:line="288" w:lineRule="auto"/>
              <w:ind w:left="0"/>
              <w:jc w:val="left"/>
            </w:pPr>
            <w:r>
              <w:rPr>
                <w:rFonts w:eastAsia="等线" w:ascii="Arial" w:cs="Arial" w:hAnsi="Arial"/>
                <w:sz w:val="22"/>
              </w:rPr>
              <w:t>2.关键事项给予决策，决定是否进行投标，以及对投标价格策略进行评定，给出建议，推动后续价格审批流程</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是（KCP）</w:t>
            </w:r>
          </w:p>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《投标策略规划书》</w:t>
            </w:r>
          </w:p>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跟项目组成员共同制定的投标策略</w:t>
            </w:r>
          </w:p>
          <w:p>
            <w:pPr>
              <w:spacing w:before="120" w:after="120" w:line="288" w:lineRule="auto"/>
              <w:ind w:left="0"/>
              <w:jc w:val="left"/>
            </w:pP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《投标策略规划书》</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包含投标决议</w:t>
            </w:r>
          </w:p>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1.价格决策效率</w:t>
            </w:r>
          </w:p>
          <w:p>
            <w:pPr>
              <w:spacing w:before="120" w:after="120" w:line="288" w:lineRule="auto"/>
              <w:ind w:left="0"/>
              <w:jc w:val="left"/>
            </w:pPr>
            <w:r>
              <w:rPr>
                <w:rFonts w:eastAsia="等线" w:ascii="Arial" w:cs="Arial" w:hAnsi="Arial"/>
                <w:sz w:val="22"/>
              </w:rPr>
              <w:t>2.标书质量</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1.前置中期报价;</w:t>
            </w:r>
          </w:p>
          <w:p>
            <w:pPr>
              <w:spacing w:before="120" w:after="120" w:line="288" w:lineRule="auto"/>
              <w:ind w:left="0"/>
              <w:jc w:val="left"/>
            </w:pPr>
            <w:r>
              <w:rPr>
                <w:rFonts w:eastAsia="等线" w:ascii="Arial" w:cs="Arial" w:hAnsi="Arial"/>
                <w:sz w:val="22"/>
              </w:rPr>
              <w:t>2.立项项目的投标策略评审</w:t>
            </w:r>
          </w:p>
          <w:p>
            <w:pPr>
              <w:spacing w:before="120" w:after="120" w:line="288" w:lineRule="auto"/>
              <w:ind w:left="0"/>
              <w:jc w:val="left"/>
            </w:pPr>
          </w:p>
        </w:tc>
        <w:tc>
          <w:tcPr>
            <w:tcW w:w="660" w:type="dxa"/>
            <w:tcMar>
              <w:top w:type="dxa" w:w="60"/>
              <w:left w:type="dxa" w:w="120"/>
              <w:bottom w:type="dxa" w:w="30"/>
              <w:right w:type="dxa" w:w="120"/>
            </w:tcMar>
          </w:tcPr>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p>
        </w:tc>
      </w:tr>
      <w:tr>
        <w:tc>
          <w:tcPr>
            <w:tcW w:w="2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执行投标策略</w:t>
            </w: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项目评审委员会</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项目经理：</w:t>
            </w:r>
          </w:p>
          <w:p>
            <w:pPr>
              <w:spacing w:before="120" w:after="120" w:line="288" w:lineRule="auto"/>
              <w:ind w:left="0"/>
              <w:jc w:val="left"/>
            </w:pPr>
            <w:r>
              <w:rPr>
                <w:rFonts w:eastAsia="等线" w:ascii="Arial" w:cs="Arial" w:hAnsi="Arial"/>
                <w:sz w:val="22"/>
              </w:rPr>
              <w:t>1.跟踪策略执行进展情况，针对执行异常问题进行跟催；</w:t>
            </w:r>
          </w:p>
          <w:p>
            <w:pPr>
              <w:spacing w:before="120" w:after="120" w:line="288" w:lineRule="auto"/>
              <w:ind w:left="0"/>
              <w:jc w:val="left"/>
            </w:pPr>
            <w:r>
              <w:rPr>
                <w:rFonts w:eastAsia="等线" w:ascii="Arial" w:cs="Arial" w:hAnsi="Arial"/>
                <w:sz w:val="22"/>
              </w:rPr>
              <w:t>2.针对扩部门协同遇到的问题进行协调，推动问题解决；</w:t>
            </w:r>
          </w:p>
          <w:p>
            <w:pPr>
              <w:spacing w:before="120" w:after="120" w:line="288" w:lineRule="auto"/>
              <w:ind w:left="0"/>
              <w:jc w:val="left"/>
            </w:pPr>
            <w:r>
              <w:rPr>
                <w:rFonts w:eastAsia="等线" w:ascii="Arial" w:cs="Arial" w:hAnsi="Arial"/>
                <w:sz w:val="22"/>
              </w:rPr>
              <w:t>技术负责人：</w:t>
            </w:r>
          </w:p>
          <w:p>
            <w:pPr>
              <w:spacing w:before="120" w:after="120" w:line="288" w:lineRule="auto"/>
              <w:ind w:left="0"/>
              <w:jc w:val="left"/>
            </w:pPr>
            <w:r>
              <w:rPr>
                <w:rFonts w:eastAsia="等线" w:ascii="Arial" w:cs="Arial" w:hAnsi="Arial"/>
                <w:sz w:val="22"/>
              </w:rPr>
              <w:t>1.依据制定的投标策略，编写技术方案细节，输出最终的投标方案</w:t>
            </w:r>
          </w:p>
          <w:p>
            <w:pPr>
              <w:spacing w:before="120" w:after="120" w:line="288" w:lineRule="auto"/>
              <w:ind w:left="0"/>
              <w:jc w:val="left"/>
            </w:pPr>
            <w:r>
              <w:rPr>
                <w:rFonts w:eastAsia="等线" w:ascii="Arial" w:cs="Arial" w:hAnsi="Arial"/>
                <w:sz w:val="22"/>
              </w:rPr>
              <w:t>2.协助合作伙伴编写投标文件</w:t>
            </w:r>
          </w:p>
          <w:p>
            <w:pPr>
              <w:spacing w:before="120" w:after="120" w:line="288" w:lineRule="auto"/>
              <w:ind w:left="0"/>
              <w:jc w:val="left"/>
            </w:pPr>
            <w:r>
              <w:rPr>
                <w:rFonts w:eastAsia="等线" w:ascii="Arial" w:cs="Arial" w:hAnsi="Arial"/>
                <w:sz w:val="22"/>
              </w:rPr>
              <w:t>3.针对有要求进行讲标和演示的项目，准备演示DEMO和讲标材料</w:t>
            </w:r>
          </w:p>
          <w:p>
            <w:pPr>
              <w:spacing w:before="120" w:after="120" w:line="288" w:lineRule="auto"/>
              <w:ind w:left="0"/>
              <w:jc w:val="left"/>
            </w:pPr>
            <w:r>
              <w:rPr>
                <w:rFonts w:eastAsia="等线" w:ascii="Arial" w:cs="Arial" w:hAnsi="Arial"/>
                <w:sz w:val="22"/>
              </w:rPr>
              <w:t>客户体验负责人：</w:t>
            </w:r>
          </w:p>
          <w:p>
            <w:pPr>
              <w:spacing w:before="120" w:after="120" w:line="288" w:lineRule="auto"/>
              <w:ind w:left="0"/>
              <w:jc w:val="left"/>
            </w:pPr>
            <w:r>
              <w:rPr>
                <w:rFonts w:eastAsia="等线" w:ascii="Arial" w:cs="Arial" w:hAnsi="Arial"/>
                <w:sz w:val="22"/>
              </w:rPr>
              <w:t>依据制定的投标策略，编写服务方案细节，输出最终的服务方案</w:t>
            </w:r>
          </w:p>
          <w:p>
            <w:pPr>
              <w:spacing w:before="120" w:after="120" w:line="288" w:lineRule="auto"/>
              <w:ind w:left="0"/>
              <w:jc w:val="left"/>
            </w:pPr>
            <w:r>
              <w:rPr>
                <w:rFonts w:eastAsia="等线" w:ascii="Arial" w:cs="Arial" w:hAnsi="Arial"/>
                <w:sz w:val="22"/>
              </w:rPr>
              <w:t>客户关系负责人：</w:t>
            </w:r>
          </w:p>
          <w:p>
            <w:pPr>
              <w:spacing w:before="120" w:after="120" w:line="288" w:lineRule="auto"/>
              <w:ind w:left="0"/>
              <w:jc w:val="left"/>
            </w:pPr>
            <w:r>
              <w:rPr>
                <w:rFonts w:eastAsia="等线" w:ascii="Arial" w:cs="Arial" w:hAnsi="Arial"/>
                <w:sz w:val="22"/>
              </w:rPr>
              <w:t>1.在客户端、合作伙伴端进行持续交流，对竞争对手信息探听，异常问题及时反馈给项目组成员，随时调整投标策略；</w:t>
            </w:r>
          </w:p>
          <w:p>
            <w:pPr>
              <w:spacing w:before="120" w:after="120" w:line="288" w:lineRule="auto"/>
              <w:ind w:left="0"/>
              <w:jc w:val="left"/>
            </w:pPr>
            <w:r>
              <w:rPr>
                <w:rFonts w:eastAsia="等线" w:ascii="Arial" w:cs="Arial" w:hAnsi="Arial"/>
                <w:sz w:val="22"/>
              </w:rPr>
              <w:t>2.依据制定的价格策略，内部发起特价审批流程，跟踪特价审批节点，保证内部按照规定时间节点走完审批流程；</w:t>
            </w:r>
          </w:p>
          <w:p>
            <w:pPr>
              <w:spacing w:before="120" w:after="120" w:line="288" w:lineRule="auto"/>
              <w:ind w:left="0"/>
              <w:jc w:val="left"/>
            </w:pPr>
            <w:r>
              <w:rPr>
                <w:rFonts w:eastAsia="等线" w:ascii="Arial" w:cs="Arial" w:hAnsi="Arial"/>
                <w:sz w:val="22"/>
              </w:rPr>
              <w:t>3.整合内部的材料，与投标合作伙伴密切沟通，协助合作伙伴完成投标文件</w:t>
            </w:r>
          </w:p>
          <w:p>
            <w:pPr>
              <w:spacing w:before="120" w:after="120" w:line="288" w:lineRule="auto"/>
              <w:ind w:left="0"/>
              <w:jc w:val="left"/>
            </w:pPr>
            <w:r>
              <w:rPr>
                <w:rFonts w:eastAsia="等线" w:ascii="Arial" w:cs="Arial" w:hAnsi="Arial"/>
                <w:sz w:val="22"/>
              </w:rPr>
              <w:t>价格审批专员：</w:t>
            </w:r>
          </w:p>
          <w:p>
            <w:pPr>
              <w:spacing w:before="120" w:after="120" w:line="288" w:lineRule="auto"/>
              <w:ind w:left="0"/>
              <w:jc w:val="left"/>
            </w:pPr>
            <w:r>
              <w:rPr>
                <w:rFonts w:eastAsia="等线" w:ascii="Arial" w:cs="Arial" w:hAnsi="Arial"/>
                <w:sz w:val="22"/>
              </w:rPr>
              <w:t>1.推动特价审批闭环，完成审批，跟进报价策略执行；</w:t>
            </w:r>
          </w:p>
          <w:p>
            <w:pPr>
              <w:spacing w:before="120" w:after="120" w:line="288" w:lineRule="auto"/>
              <w:ind w:left="0"/>
              <w:jc w:val="left"/>
            </w:pPr>
            <w:r>
              <w:rPr>
                <w:rFonts w:eastAsia="等线" w:ascii="Arial" w:cs="Arial" w:hAnsi="Arial"/>
                <w:sz w:val="22"/>
              </w:rPr>
              <w:t>2.</w:t>
            </w:r>
            <w:r>
              <w:rPr>
                <w:rFonts w:eastAsia="等线" w:ascii="Arial" w:cs="Arial" w:hAnsi="Arial"/>
                <w:sz w:val="22"/>
              </w:rPr>
              <w:t>应对对手恶意降价，给出定价依据，推动快速决策</w:t>
            </w:r>
          </w:p>
          <w:p>
            <w:pPr>
              <w:spacing w:before="120" w:after="120" w:line="288" w:lineRule="auto"/>
              <w:ind w:left="0"/>
              <w:jc w:val="left"/>
            </w:pPr>
            <w:r>
              <w:rPr>
                <w:rFonts w:eastAsia="等线" w:ascii="Arial" w:cs="Arial" w:hAnsi="Arial"/>
                <w:sz w:val="22"/>
              </w:rPr>
              <w:t>高层决策：</w:t>
            </w:r>
          </w:p>
          <w:p>
            <w:pPr>
              <w:spacing w:before="120" w:after="120" w:line="288" w:lineRule="auto"/>
              <w:ind w:left="0"/>
              <w:jc w:val="left"/>
            </w:pPr>
            <w:r>
              <w:rPr>
                <w:rFonts w:eastAsia="等线" w:ascii="Arial" w:cs="Arial" w:hAnsi="Arial"/>
                <w:sz w:val="22"/>
              </w:rPr>
              <w:t>针对变化的策略情况给予决策</w:t>
            </w:r>
          </w:p>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《投标策略规划书》</w:t>
            </w:r>
          </w:p>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包含投标决议</w:t>
            </w:r>
          </w:p>
          <w:p>
            <w:pPr>
              <w:spacing w:before="120" w:after="120" w:line="288" w:lineRule="auto"/>
              <w:ind w:left="0"/>
              <w:jc w:val="left"/>
            </w:pP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《标书终稿》</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完整的标书内容</w:t>
            </w:r>
          </w:p>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突发性竞争对手策略变动的快速响应</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项目组快速决策，响应变化</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《步步为赢-项目全流程价格管理策略指南》</w:t>
            </w:r>
          </w:p>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15" w:id="15"/>
      <w:r>
        <w:rPr>
          <w:rFonts w:eastAsia="等线" w:ascii="Arial" w:cs="Arial" w:hAnsi="Arial"/>
          <w:b w:val="true"/>
          <w:sz w:val="30"/>
        </w:rPr>
        <w:t>5.3.6 主要角色活动说明</w:t>
      </w:r>
      <w:bookmarkEnd w:id="15"/>
    </w:p>
    <w:p>
      <w:pPr>
        <w:pStyle w:val="4"/>
        <w:spacing w:before="260" w:after="120" w:line="288" w:lineRule="auto"/>
        <w:ind w:left="0"/>
        <w:jc w:val="left"/>
        <w:outlineLvl w:val="3"/>
      </w:pPr>
      <w:bookmarkStart w:name="heading_16" w:id="16"/>
      <w:r>
        <w:rPr>
          <w:rFonts w:eastAsia="等线" w:ascii="Arial" w:cs="Arial" w:hAnsi="Arial"/>
          <w:b w:val="true"/>
          <w:sz w:val="28"/>
        </w:rPr>
        <w:t xml:space="preserve">5.3.6.1 </w:t>
      </w:r>
      <w:r>
        <w:rPr>
          <w:rFonts w:eastAsia="等线" w:ascii="Arial" w:cs="Arial" w:hAnsi="Arial"/>
          <w:b w:val="true"/>
          <w:sz w:val="28"/>
        </w:rPr>
        <w:t>客户关系负责人</w:t>
      </w:r>
      <w:r>
        <w:rPr>
          <w:rFonts w:eastAsia="等线" w:ascii="Arial" w:cs="Arial" w:hAnsi="Arial"/>
          <w:b w:val="true"/>
          <w:sz w:val="28"/>
        </w:rPr>
        <w:t>活动说明：</w:t>
      </w:r>
      <w:bookmarkEnd w:id="16"/>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11" o:title=""/>
          </v:shape>
          <o:OLEObject DrawAspect="Icon" ObjectID="_1718471219" ProgID="Excel.Sheet.12" ShapeID="_x0000_i1025" Type="Embed" r:id="rId10"/>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7" w:id="17"/>
      <w:r>
        <w:rPr>
          <w:rFonts w:eastAsia="等线" w:ascii="Arial" w:cs="Arial" w:hAnsi="Arial"/>
          <w:b w:val="true"/>
          <w:sz w:val="28"/>
        </w:rPr>
        <w:t xml:space="preserve">5.3.6.2 </w:t>
      </w:r>
      <w:r>
        <w:rPr>
          <w:rFonts w:eastAsia="等线" w:ascii="Arial" w:cs="Arial" w:hAnsi="Arial"/>
          <w:b w:val="true"/>
          <w:sz w:val="28"/>
        </w:rPr>
        <w:t>技术负责人</w:t>
      </w:r>
      <w:r>
        <w:rPr>
          <w:rFonts w:eastAsia="等线" w:ascii="Arial" w:cs="Arial" w:hAnsi="Arial"/>
          <w:b w:val="true"/>
          <w:sz w:val="28"/>
        </w:rPr>
        <w:t>活动说明:</w:t>
      </w:r>
      <w:bookmarkEnd w:id="17"/>
    </w:p>
    <w:p>
      <w:pPr>
        <w:spacing w:before="120" w:after="120" w:line="288" w:lineRule="auto"/>
        <w:ind w:left="0"/>
      </w:pPr>
      <w:r>
        <w:object>
          <v:shape id="_x0000_i1026" style="width:414pt;height:197pt;mso-width-percent:0;mso-height-percent:0;mso-width-percent:0;mso-height-percent:0" type="#_x0000_t75" o:ole="">
            <v:imagedata r:id="rId13" o:title=""/>
          </v:shape>
          <o:OLEObject DrawAspect="Icon" ObjectID="_1718471220" ProgID="Excel.Sheet.12" ShapeID="_x0000_i1026" Type="Embed" r:id="rId12"/>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8" w:id="18"/>
      <w:r>
        <w:rPr>
          <w:rFonts w:eastAsia="等线" w:ascii="Arial" w:cs="Arial" w:hAnsi="Arial"/>
          <w:b w:val="true"/>
          <w:sz w:val="28"/>
        </w:rPr>
        <w:t>5.3.6.2 客户体验负责人活动说明:</w:t>
      </w:r>
      <w:bookmarkEnd w:id="18"/>
    </w:p>
    <w:p>
      <w:pPr>
        <w:spacing w:before="120" w:after="120" w:line="288" w:lineRule="auto"/>
        <w:ind w:left="0"/>
      </w:pPr>
      <w:r>
        <w:object>
          <v:shape id="_x0000_i1027" style="width:414pt;height:197pt;mso-width-percent:0;mso-height-percent:0;mso-width-percent:0;mso-height-percent:0" type="#_x0000_t75" o:ole="">
            <v:imagedata r:id="rId15" o:title=""/>
          </v:shape>
          <o:OLEObject DrawAspect="Icon" ObjectID="_1718471221" ProgID="Excel.Sheet.12" ShapeID="_x0000_i1027" Type="Embed" r:id="rId14"/>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9" w:id="19"/>
      <w:r>
        <w:rPr>
          <w:rFonts w:eastAsia="等线" w:ascii="Arial" w:cs="Arial" w:hAnsi="Arial"/>
          <w:b w:val="true"/>
          <w:sz w:val="28"/>
        </w:rPr>
        <w:t>5.3.6.3 项目经理活动说明：</w:t>
      </w:r>
      <w:bookmarkEnd w:id="19"/>
    </w:p>
    <w:p>
      <w:pPr>
        <w:spacing w:before="120" w:after="120" w:line="288" w:lineRule="auto"/>
        <w:ind w:left="0"/>
      </w:pPr>
      <w:r>
        <w:object>
          <v:shape id="_x0000_i1028" style="width:414pt;height:197pt;mso-width-percent:0;mso-height-percent:0;mso-width-percent:0;mso-height-percent:0" type="#_x0000_t75" o:ole="">
            <v:imagedata r:id="rId17" o:title=""/>
          </v:shape>
          <o:OLEObject DrawAspect="Icon" ObjectID="_1718471222" ProgID="Excel.Sheet.12" ShapeID="_x0000_i1028" Type="Embed" r:id="rId16"/>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20" w:id="20"/>
      <w:r>
        <w:rPr>
          <w:rFonts w:eastAsia="等线" w:ascii="Arial" w:cs="Arial" w:hAnsi="Arial"/>
          <w:color w:val="3370ff"/>
          <w:sz w:val="32"/>
        </w:rPr>
        <w:t xml:space="preserve">5.3 </w:t>
      </w:r>
      <w:r>
        <w:rPr>
          <w:rFonts w:eastAsia="等线" w:ascii="Arial" w:cs="Arial" w:hAnsi="Arial"/>
          <w:b w:val="true"/>
          <w:sz w:val="32"/>
        </w:rPr>
        <w:t>KCP、KDP指导书</w:t>
      </w:r>
      <w:r>
        <w:rPr>
          <w:rFonts w:eastAsia="等线" w:ascii="Arial" w:cs="Arial" w:hAnsi="Arial"/>
          <w:b w:val="true"/>
          <w:sz w:val="32"/>
        </w:rPr>
        <w:t>；</w:t>
      </w:r>
      <w:bookmarkEnd w:id="2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75"/>
        <w:gridCol w:w="975"/>
        <w:gridCol w:w="2565"/>
        <w:gridCol w:w="2460"/>
        <w:gridCol w:w="870"/>
        <w:gridCol w:w="435"/>
      </w:tblGrid>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关键节点</w:t>
            </w:r>
          </w:p>
        </w:tc>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控制点</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KCP/KDP说明</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KCP/KDP负责人</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指导书</w:t>
            </w: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M11.3.1分析标书制定投标策略</w:t>
            </w:r>
          </w:p>
          <w:p>
            <w:pPr>
              <w:spacing w:before="120" w:after="120" w:line="288" w:lineRule="auto"/>
              <w:ind w:left="0"/>
              <w:jc w:val="center"/>
            </w:pPr>
          </w:p>
        </w:tc>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组织开展投标评审会</w:t>
            </w:r>
          </w:p>
          <w:p>
            <w:pPr>
              <w:spacing w:before="120" w:after="120" w:line="288" w:lineRule="auto"/>
              <w:ind w:left="0"/>
              <w:jc w:val="center"/>
            </w:pPr>
            <w:r>
              <w:rPr>
                <w:rFonts w:eastAsia="等线" w:ascii="Arial" w:cs="Arial" w:hAnsi="Arial"/>
                <w:sz w:val="22"/>
              </w:rPr>
              <w:t>（KDP）</w:t>
            </w:r>
          </w:p>
        </w:tc>
        <w:tc>
          <w:tcPr>
            <w:tcW w:w="2565"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r>
              <w:rPr>
                <w:rFonts w:eastAsia="等线" w:ascii="Arial" w:cs="Arial" w:hAnsi="Arial"/>
                <w:sz w:val="22"/>
              </w:rPr>
              <w:t>评审要素：</w:t>
            </w:r>
          </w:p>
          <w:p>
            <w:pPr>
              <w:spacing w:before="120" w:after="120" w:line="288" w:lineRule="auto"/>
              <w:ind w:left="0"/>
              <w:jc w:val="left"/>
            </w:pPr>
            <w:r>
              <w:rPr>
                <w:rFonts w:eastAsia="等线" w:ascii="Arial" w:cs="Arial" w:hAnsi="Arial"/>
                <w:sz w:val="22"/>
              </w:rPr>
              <w:t>1.技术方案：选择的设备清单能应对参数要求，对非我司制定的招标参数能够合理应对；所设计的技术方案能够满足招标要求，体现出我们的价值点；</w:t>
            </w:r>
          </w:p>
          <w:p>
            <w:pPr>
              <w:spacing w:before="120" w:after="120" w:line="288" w:lineRule="auto"/>
              <w:ind w:left="0"/>
              <w:jc w:val="left"/>
            </w:pPr>
            <w:r>
              <w:rPr>
                <w:rFonts w:eastAsia="等线" w:ascii="Arial" w:cs="Arial" w:hAnsi="Arial"/>
                <w:sz w:val="22"/>
              </w:rPr>
              <w:t>2.服务方案：服务规划合理，降低交付风险，对可能存在的交付问题有应对策略；</w:t>
            </w:r>
          </w:p>
          <w:p>
            <w:pPr>
              <w:spacing w:before="120" w:after="120" w:line="288" w:lineRule="auto"/>
              <w:ind w:left="0"/>
              <w:jc w:val="left"/>
            </w:pPr>
            <w:r>
              <w:rPr>
                <w:rFonts w:eastAsia="等线" w:ascii="Arial" w:cs="Arial" w:hAnsi="Arial"/>
                <w:sz w:val="22"/>
              </w:rPr>
              <w:t>3.定价依据：对手价格分析准确，在保证能中标的前提下，尽可能提升我们的出货折扣，提升毛利；</w:t>
            </w:r>
          </w:p>
          <w:p>
            <w:pPr>
              <w:spacing w:before="120" w:after="120" w:line="288" w:lineRule="auto"/>
              <w:ind w:left="0"/>
              <w:jc w:val="left"/>
            </w:pPr>
            <w:r>
              <w:rPr>
                <w:rFonts w:eastAsia="等线" w:ascii="Arial" w:cs="Arial" w:hAnsi="Arial"/>
                <w:sz w:val="22"/>
              </w:rPr>
              <w:t>4.投标渠道：投标渠道选择合理，能够执行我们设定好的投标策略；</w:t>
            </w:r>
          </w:p>
          <w:p>
            <w:pPr>
              <w:spacing w:before="120" w:after="120" w:line="288" w:lineRule="auto"/>
              <w:ind w:left="0"/>
              <w:jc w:val="left"/>
            </w:pPr>
            <w:r>
              <w:rPr>
                <w:rFonts w:eastAsia="等线" w:ascii="Arial" w:cs="Arial" w:hAnsi="Arial"/>
                <w:sz w:val="22"/>
              </w:rPr>
              <w:t>决策输出：</w:t>
            </w:r>
          </w:p>
          <w:p>
            <w:pPr>
              <w:spacing w:before="120" w:after="120" w:line="288" w:lineRule="auto"/>
              <w:ind w:left="0"/>
              <w:jc w:val="left"/>
            </w:pPr>
            <w:r>
              <w:rPr>
                <w:rFonts w:eastAsia="等线" w:ascii="Arial" w:cs="Arial" w:hAnsi="Arial"/>
                <w:sz w:val="22"/>
              </w:rPr>
              <w:t>敲定投标方案；</w:t>
            </w:r>
          </w:p>
          <w:p>
            <w:pPr>
              <w:spacing w:before="120" w:after="120" w:line="288" w:lineRule="auto"/>
              <w:ind w:left="0"/>
              <w:jc w:val="left"/>
            </w:pPr>
            <w:r>
              <w:rPr>
                <w:rFonts w:eastAsia="等线" w:ascii="Arial" w:cs="Arial" w:hAnsi="Arial"/>
                <w:sz w:val="22"/>
              </w:rPr>
              <w:t>输出最终的价格策略；</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项目经理</w:t>
            </w:r>
          </w:p>
          <w:p>
            <w:pPr>
              <w:spacing w:before="120" w:after="120" w:line="288" w:lineRule="auto"/>
              <w:ind w:left="0"/>
              <w:jc w:val="center"/>
            </w:pP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r>
              <w:rPr>
                <w:rFonts w:eastAsia="等线" w:ascii="Arial" w:cs="Arial" w:hAnsi="Arial"/>
                <w:sz w:val="22"/>
              </w:rPr>
              <w:t>投标策略规划书</w:t>
            </w:r>
            <w:r>
              <w:rPr>
                <w:rFonts w:eastAsia="等线" w:ascii="Arial" w:cs="Arial" w:hAnsi="Arial"/>
                <w:sz w:val="22"/>
              </w:rPr>
              <w:t>》</w:t>
            </w:r>
          </w:p>
          <w:p>
            <w:pPr>
              <w:spacing w:before="120" w:after="120" w:line="288" w:lineRule="auto"/>
              <w:ind w:left="0"/>
              <w:jc w:val="center"/>
            </w:pPr>
          </w:p>
        </w:tc>
        <w:tc>
          <w:tcPr>
            <w:tcW w:w="4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优化</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M11.3.2执行投标策略</w:t>
            </w:r>
          </w:p>
          <w:p>
            <w:pPr>
              <w:spacing w:before="120" w:after="120" w:line="288" w:lineRule="auto"/>
              <w:ind w:left="0"/>
              <w:jc w:val="center"/>
            </w:pPr>
          </w:p>
        </w:tc>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价格审批</w:t>
            </w:r>
          </w:p>
          <w:p>
            <w:pPr>
              <w:spacing w:before="120" w:after="120" w:line="288" w:lineRule="auto"/>
              <w:ind w:left="0"/>
              <w:jc w:val="center"/>
            </w:pPr>
            <w:r>
              <w:rPr>
                <w:rFonts w:eastAsia="等线" w:ascii="Arial" w:cs="Arial" w:hAnsi="Arial"/>
                <w:sz w:val="22"/>
              </w:rPr>
              <w:t>（KCP）</w:t>
            </w:r>
          </w:p>
          <w:p>
            <w:pPr>
              <w:spacing w:before="120" w:after="120" w:line="288" w:lineRule="auto"/>
              <w:ind w:left="0"/>
              <w:jc w:val="center"/>
            </w:pP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1.客户关系负责人要对价格审批流程负责，推动价格审批流程，按照规定时间完成审批节点</w:t>
            </w:r>
          </w:p>
          <w:p>
            <w:pPr>
              <w:spacing w:before="120" w:after="120" w:line="288" w:lineRule="auto"/>
              <w:ind w:left="0"/>
              <w:jc w:val="left"/>
            </w:pPr>
            <w:r>
              <w:rPr>
                <w:rFonts w:eastAsia="等线" w:ascii="Arial" w:cs="Arial" w:hAnsi="Arial"/>
                <w:sz w:val="22"/>
              </w:rPr>
              <w:t>2.区域经理要对价格真实性负责，通过多维度验证价格合理且合规</w:t>
            </w:r>
          </w:p>
          <w:p>
            <w:pPr>
              <w:spacing w:before="120" w:after="120" w:line="288" w:lineRule="auto"/>
              <w:ind w:left="0"/>
              <w:jc w:val="left"/>
            </w:pPr>
            <w:r>
              <w:rPr>
                <w:rFonts w:eastAsia="等线" w:ascii="Arial" w:cs="Arial" w:hAnsi="Arial"/>
                <w:sz w:val="22"/>
              </w:rPr>
              <w:t>2.技术经理要对清单准确性负责，核对最终系统上的清单能够满足招标要求</w:t>
            </w:r>
          </w:p>
          <w:p>
            <w:pPr>
              <w:spacing w:before="120" w:after="120" w:line="288" w:lineRule="auto"/>
              <w:ind w:left="0"/>
              <w:jc w:val="left"/>
            </w:pPr>
            <w:r>
              <w:rPr>
                <w:rFonts w:eastAsia="等线" w:ascii="Arial" w:cs="Arial" w:hAnsi="Arial"/>
                <w:sz w:val="22"/>
              </w:rPr>
              <w:t>3.客户体验负责人要对整体交付渠道和服务点位进行核对，能够支撑后续项目的交付</w:t>
            </w:r>
          </w:p>
          <w:p>
            <w:pPr>
              <w:spacing w:before="120" w:after="120" w:line="288" w:lineRule="auto"/>
              <w:ind w:left="0"/>
              <w:jc w:val="left"/>
            </w:pPr>
            <w:r>
              <w:rPr>
                <w:rFonts w:eastAsia="等线" w:ascii="Arial" w:cs="Arial" w:hAnsi="Arial"/>
                <w:sz w:val="22"/>
              </w:rPr>
              <w:t>4.特价审批专员要验证项目合规</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客户关系负责人</w:t>
            </w:r>
          </w:p>
          <w:p>
            <w:pPr>
              <w:spacing w:before="120" w:after="120" w:line="288" w:lineRule="auto"/>
              <w:ind w:left="0"/>
              <w:jc w:val="center"/>
            </w:pP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区域经理、售前经理、售后经理责任说明</w:t>
            </w:r>
          </w:p>
          <w:p>
            <w:pPr>
              <w:spacing w:before="120" w:after="120" w:line="288" w:lineRule="auto"/>
              <w:ind w:left="0"/>
              <w:jc w:val="center"/>
            </w:pPr>
          </w:p>
        </w:tc>
        <w:tc>
          <w:tcPr>
            <w:tcW w:w="4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优化</w:t>
            </w:r>
          </w:p>
        </w:tc>
      </w:tr>
    </w:tbl>
    <w:p>
      <w:pPr>
        <w:pStyle w:val="1"/>
        <w:spacing w:before="380" w:after="140" w:line="288" w:lineRule="auto"/>
        <w:ind w:left="0"/>
        <w:jc w:val="left"/>
        <w:outlineLvl w:val="0"/>
      </w:pPr>
      <w:bookmarkStart w:name="heading_21" w:id="21"/>
      <w:r>
        <w:rPr>
          <w:rFonts w:eastAsia="等线" w:ascii="Arial" w:cs="Arial" w:hAnsi="Arial"/>
          <w:b w:val="true"/>
          <w:sz w:val="36"/>
        </w:rPr>
        <w:t>6、解释权限及生效日期</w:t>
      </w:r>
      <w:bookmarkEnd w:id="21"/>
    </w:p>
    <w:p>
      <w:pPr>
        <w:spacing w:before="120" w:after="120" w:line="288" w:lineRule="auto"/>
        <w:ind w:left="0"/>
        <w:jc w:val="left"/>
      </w:pPr>
      <w:r>
        <w:rPr>
          <w:rFonts w:eastAsia="等线" w:ascii="Arial" w:cs="Arial" w:hAnsi="Arial"/>
          <w:sz w:val="22"/>
        </w:rPr>
        <w:t>本文档的解释权归属流程管理部。</w:t>
      </w:r>
    </w:p>
    <w:p>
      <w:pPr>
        <w:spacing w:before="120" w:after="120" w:line="288" w:lineRule="auto"/>
        <w:ind w:left="0"/>
        <w:jc w:val="left"/>
      </w:pPr>
      <w:r>
        <w:rPr>
          <w:rFonts w:eastAsia="等线" w:ascii="Arial" w:cs="Arial" w:hAnsi="Arial"/>
          <w:sz w:val="22"/>
        </w:rPr>
        <w:t>本文档自发布之日起生效。</w:t>
      </w:r>
    </w:p>
    <w:p>
      <w:pPr>
        <w:spacing w:before="120" w:after="120" w:line="288" w:lineRule="auto"/>
        <w:ind w:left="0"/>
        <w:jc w:val="left"/>
      </w:pPr>
    </w:p>
    <w:sectPr>
      <w:footerReference w:type="default" r:id="rId3"/>
      <w:headerReference w:type="default" r:id="rId1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18477">
    <w:lvl>
      <w:numFmt w:val="bullet"/>
      <w:suff w:val="tab"/>
      <w:lvlText w:val="•"/>
      <w:rPr>
        <w:color w:val="3370ff"/>
      </w:rPr>
    </w:lvl>
  </w:abstractNum>
  <w:abstractNum w:abstractNumId="18478">
    <w:lvl>
      <w:numFmt w:val="bullet"/>
      <w:suff w:val="tab"/>
      <w:lvlText w:val="•"/>
      <w:rPr>
        <w:color w:val="3370ff"/>
      </w:rPr>
    </w:lvl>
  </w:abstractNum>
  <w:abstractNum w:abstractNumId="18479">
    <w:lvl>
      <w:numFmt w:val="bullet"/>
      <w:suff w:val="tab"/>
      <w:lvlText w:val="•"/>
      <w:rPr>
        <w:color w:val="3370ff"/>
      </w:rPr>
    </w:lvl>
  </w:abstractNum>
  <w:num w:numId="1">
    <w:abstractNumId w:val="18477"/>
  </w:num>
  <w:num w:numId="2">
    <w:abstractNumId w:val="18478"/>
  </w:num>
  <w:num w:numId="3">
    <w:abstractNumId w:val="1847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embeddings/Microsoft_Excel_Worksheet1.xlsx" Type="http://schemas.openxmlformats.org/officeDocument/2006/relationships/package"/><Relationship Id="rId11" Target="media/image6.png" Type="http://schemas.openxmlformats.org/officeDocument/2006/relationships/image"/><Relationship Id="rId12" Target="embeddings/Microsoft_Excel_Worksheet2.xlsx" Type="http://schemas.openxmlformats.org/officeDocument/2006/relationships/package"/><Relationship Id="rId13" Target="media/image7.png" Type="http://schemas.openxmlformats.org/officeDocument/2006/relationships/image"/><Relationship Id="rId14" Target="embeddings/Microsoft_Excel_Worksheet3.xlsx" Type="http://schemas.openxmlformats.org/officeDocument/2006/relationships/package"/><Relationship Id="rId15" Target="media/image8.png" Type="http://schemas.openxmlformats.org/officeDocument/2006/relationships/image"/><Relationship Id="rId16" Target="embeddings/Microsoft_Excel_Worksheet4.xlsx" Type="http://schemas.openxmlformats.org/officeDocument/2006/relationships/package"/><Relationship Id="rId17" Target="media/image9.png" Type="http://schemas.openxmlformats.org/officeDocument/2006/relationships/image"/><Relationship Id="rId18"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jpeg" Type="http://schemas.openxmlformats.org/officeDocument/2006/relationships/image"/><Relationship Id="rId6" Target="media/image2.jpeg" Type="http://schemas.openxmlformats.org/officeDocument/2006/relationships/image"/><Relationship Id="rId7" Target="media/image3.jpeg" Type="http://schemas.openxmlformats.org/officeDocument/2006/relationships/image"/><Relationship Id="rId8" Target="media/image4.jpeg" Type="http://schemas.openxmlformats.org/officeDocument/2006/relationships/image"/><Relationship Id="rId9" Target="media/image5.jpeg" Type="http://schemas.openxmlformats.org/officeDocument/2006/relationships/image"/></Relationships>
</file>

<file path=word/_rels/header1.xml.rels><?xml version="1.0" encoding="UTF-8" standalone="yes"?><Relationships xmlns="http://schemas.openxmlformats.org/package/2006/relationships"><Relationship Id="rId1" Target="media/image10.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2025-05-13T08:45:44Z</dcterms:created>
  <dc:creator>Apache POI</dc:creator>
</cp:coreProperties>
</file>