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M11.4 谈判并签订合同流程</w:t>
      </w:r>
      <w:r>
        <w:rPr>
          <w:rFonts w:eastAsia="等线" w:ascii="Arial" w:cs="Arial" w:hAnsi="Arial"/>
          <w:b w:val="true"/>
          <w:sz w:val="52"/>
        </w:rPr>
        <w:t>说明</w:t>
      </w:r>
      <w:r>
        <w:rPr>
          <w:rFonts w:eastAsia="等线" w:ascii="Arial" w:cs="Arial" w:hAnsi="Arial"/>
          <w:b w:val="true"/>
          <w:sz w:val="52"/>
        </w:rPr>
        <w:t>文件</w:t>
      </w:r>
      <w:r>
        <w:rPr>
          <w:rFonts w:eastAsia="等线" w:ascii="Arial" w:cs="Arial" w:hAnsi="Arial"/>
          <w:b w:val="true"/>
          <w:sz w:val="52"/>
        </w:rPr>
        <w:t>-V0.9</w:t>
      </w:r>
    </w:p>
    <w:p>
      <w:pPr>
        <w:spacing w:before="120" w:after="120" w:line="288" w:lineRule="auto"/>
        <w:ind w:left="0"/>
        <w:jc w:val="right"/>
      </w:pPr>
      <w:r>
        <w:rPr>
          <w:rFonts w:eastAsia="等线" w:ascii="Arial" w:cs="Arial" w:hAnsi="Arial"/>
          <w:sz w:val="22"/>
        </w:rPr>
        <w:t>密级：B</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 </w:t>
      </w:r>
      <w:bookmarkEnd w:id="1"/>
    </w:p>
    <w:p>
      <w:pPr>
        <w:spacing w:before="120" w:after="120" w:line="288" w:lineRule="auto"/>
        <w:ind w:left="0"/>
        <w:jc w:val="center"/>
      </w:pP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p>
    <w:p>
      <w:pPr>
        <w:pStyle w:val="1"/>
        <w:spacing w:before="380" w:after="140" w:line="288" w:lineRule="auto"/>
        <w:ind w:left="0"/>
        <w:jc w:val="center"/>
        <w:outlineLvl w:val="0"/>
      </w:pPr>
      <w:bookmarkStart w:name="heading_2" w:id="2"/>
      <w:r>
        <w:rPr>
          <w:rFonts w:eastAsia="等线" w:ascii="Arial" w:cs="Arial" w:hAnsi="Arial"/>
          <w:b w:val="true"/>
          <w:sz w:val="36"/>
        </w:rPr>
        <w:t>谈判并签订合同流程</w:t>
      </w:r>
      <w:bookmarkEnd w:id="2"/>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410"/>
        <w:gridCol w:w="1410"/>
        <w:gridCol w:w="930"/>
      </w:tblGrid>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文件名称：谈判并签订合同</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文件编号：MTCV-MO-M11.4-P-谈判并签订合同-V0.9</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3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生效日期：2025/3/24</w:t>
            </w: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PO：曹曦</w:t>
            </w:r>
          </w:p>
        </w:tc>
        <w:tc>
          <w:tcPr>
            <w:tcW w:w="30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PO：赵鑫旸</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37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流程组团队成员：何雨阳、董昭阳、肖天阳、董浩俭、陈鹏</w:t>
            </w: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流程PO：赵鑫旸</w:t>
            </w:r>
          </w:p>
          <w:p>
            <w:pPr>
              <w:spacing w:before="120" w:after="120" w:line="288" w:lineRule="auto"/>
              <w:ind w:left="0"/>
              <w:jc w:val="left"/>
            </w:pPr>
            <w:r>
              <w:rPr>
                <w:rFonts w:eastAsia="等线" w:ascii="Arial" w:cs="Arial" w:hAnsi="Arial"/>
                <w:sz w:val="22"/>
              </w:rPr>
              <w:t>流程PC：赵波</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2025-3-24</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center"/>
      </w:pPr>
      <w:r>
        <w:rPr>
          <w:rFonts w:eastAsia="等线" w:ascii="Arial" w:cs="Arial" w:hAnsi="Arial"/>
          <w:sz w:val="22"/>
        </w:rPr>
        <w:t xml:space="preserve"> </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1. </w:t>
      </w:r>
      <w:r>
        <w:rPr>
          <w:rFonts w:eastAsia="等线" w:ascii="Arial" w:cs="Arial" w:hAnsi="Arial"/>
          <w:b w:val="true"/>
          <w:sz w:val="36"/>
        </w:rPr>
        <w:t>目的</w:t>
      </w:r>
      <w:bookmarkEnd w:id="3"/>
    </w:p>
    <w:p>
      <w:pPr>
        <w:spacing w:before="120" w:after="120" w:line="288" w:lineRule="auto"/>
        <w:ind w:left="0" w:firstLine="420"/>
        <w:jc w:val="left"/>
      </w:pPr>
      <w:r>
        <w:rPr>
          <w:rFonts w:eastAsia="等线" w:ascii="Arial" w:cs="Arial" w:hAnsi="Arial"/>
          <w:sz w:val="22"/>
        </w:rPr>
        <w:t>谈判并签订合同流程是一个复杂而细致的过程，其中包括：</w:t>
      </w:r>
      <w:r>
        <w:rPr>
          <w:rFonts w:eastAsia="等线" w:ascii="Arial" w:cs="Arial" w:hAnsi="Arial"/>
          <w:b w:val="true"/>
          <w:sz w:val="22"/>
        </w:rPr>
        <w:t>非直签</w:t>
      </w:r>
      <w:r>
        <w:rPr>
          <w:rFonts w:eastAsia="等线" w:ascii="Arial" w:cs="Arial" w:hAnsi="Arial"/>
          <w:b w:val="true"/>
          <w:sz w:val="22"/>
        </w:rPr>
        <w:t>项目中标</w:t>
      </w:r>
      <w:r>
        <w:rPr>
          <w:rFonts w:eastAsia="等线" w:ascii="Arial" w:cs="Arial" w:hAnsi="Arial"/>
          <w:b w:val="true"/>
          <w:sz w:val="22"/>
        </w:rPr>
        <w:t>后</w:t>
      </w:r>
      <w:r>
        <w:rPr>
          <w:rFonts w:eastAsia="等线" w:ascii="Arial" w:cs="Arial" w:hAnsi="Arial"/>
          <w:b w:val="true"/>
          <w:sz w:val="22"/>
        </w:rPr>
        <w:t>与下级渠道确认</w:t>
      </w:r>
      <w:r>
        <w:rPr>
          <w:rFonts w:eastAsia="等线" w:ascii="Arial" w:cs="Arial" w:hAnsi="Arial"/>
          <w:b w:val="true"/>
          <w:sz w:val="22"/>
        </w:rPr>
        <w:t>合同条款及二次谈判</w:t>
      </w:r>
      <w:r>
        <w:rPr>
          <w:rFonts w:eastAsia="等线" w:ascii="Arial" w:cs="Arial" w:hAnsi="Arial"/>
          <w:b w:val="true"/>
          <w:sz w:val="22"/>
        </w:rPr>
        <w:t>，</w:t>
      </w:r>
      <w:r>
        <w:rPr>
          <w:rFonts w:eastAsia="等线" w:ascii="Arial" w:cs="Arial" w:hAnsi="Arial"/>
          <w:sz w:val="22"/>
        </w:rPr>
        <w:t>促成一级渠道与下级渠道签订合同</w:t>
      </w:r>
      <w:r>
        <w:rPr>
          <w:rFonts w:eastAsia="等线" w:ascii="Arial" w:cs="Arial" w:hAnsi="Arial"/>
          <w:sz w:val="22"/>
        </w:rPr>
        <w:t>；</w:t>
      </w:r>
      <w:r>
        <w:rPr>
          <w:rFonts w:eastAsia="等线" w:ascii="Arial" w:cs="Arial" w:hAnsi="Arial"/>
          <w:b w:val="true"/>
          <w:sz w:val="22"/>
        </w:rPr>
        <w:t>直签项目中标后与最终用户确认合同条款及二次谈判；</w:t>
      </w:r>
      <w:r>
        <w:rPr>
          <w:rFonts w:eastAsia="等线" w:ascii="Arial" w:cs="Arial" w:hAnsi="Arial"/>
          <w:b w:val="true"/>
          <w:sz w:val="22"/>
        </w:rPr>
        <w:t>赢单/丢单总结复盘分析</w:t>
      </w:r>
      <w:r>
        <w:rPr>
          <w:rFonts w:eastAsia="等线" w:ascii="Arial" w:cs="Arial" w:hAnsi="Arial"/>
          <w:sz w:val="22"/>
        </w:rPr>
        <w:t>等关键过程，</w:t>
      </w:r>
      <w:r>
        <w:rPr>
          <w:rFonts w:eastAsia="等线" w:ascii="Arial" w:cs="Arial" w:hAnsi="Arial"/>
          <w:sz w:val="22"/>
        </w:rPr>
        <w:t>特别是在</w:t>
      </w:r>
      <w:r>
        <w:rPr>
          <w:rFonts w:eastAsia="等线" w:ascii="Arial" w:cs="Arial" w:hAnsi="Arial"/>
          <w:b w:val="true"/>
          <w:sz w:val="22"/>
        </w:rPr>
        <w:t>立项的大项目</w:t>
      </w:r>
      <w:r>
        <w:rPr>
          <w:rFonts w:eastAsia="等线" w:ascii="Arial" w:cs="Arial" w:hAnsi="Arial"/>
          <w:sz w:val="22"/>
        </w:rPr>
        <w:t>中，</w:t>
      </w:r>
      <w:r>
        <w:rPr>
          <w:rFonts w:eastAsia="等线" w:ascii="Arial" w:cs="Arial" w:hAnsi="Arial"/>
          <w:sz w:val="22"/>
        </w:rPr>
        <w:t>它要求我司</w:t>
      </w:r>
      <w:r>
        <w:rPr>
          <w:rFonts w:eastAsia="等线" w:ascii="Arial" w:cs="Arial" w:hAnsi="Arial"/>
          <w:sz w:val="22"/>
        </w:rPr>
        <w:t>业务人员</w:t>
      </w:r>
      <w:r>
        <w:rPr>
          <w:rFonts w:eastAsia="等线" w:ascii="Arial" w:cs="Arial" w:hAnsi="Arial"/>
          <w:sz w:val="22"/>
        </w:rPr>
        <w:t>具备高度的专业素养、良好的沟通</w:t>
      </w:r>
      <w:r>
        <w:rPr>
          <w:rFonts w:eastAsia="等线" w:ascii="Arial" w:cs="Arial" w:hAnsi="Arial"/>
          <w:sz w:val="22"/>
        </w:rPr>
        <w:t>谈判</w:t>
      </w:r>
      <w:r>
        <w:rPr>
          <w:rFonts w:eastAsia="等线" w:ascii="Arial" w:cs="Arial" w:hAnsi="Arial"/>
          <w:sz w:val="22"/>
        </w:rPr>
        <w:t>能力以及持续学习的态度。通过不断优化与合作，我司将与各级渠道合作伙伴建立稳定而长久的合作关系，共同实现商业目标。</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适用范围</w:t>
      </w:r>
      <w:bookmarkEnd w:id="4"/>
    </w:p>
    <w:p>
      <w:pPr>
        <w:spacing w:before="120" w:after="120" w:line="288" w:lineRule="auto"/>
        <w:ind w:left="0" w:firstLine="420"/>
        <w:jc w:val="left"/>
      </w:pPr>
      <w:r>
        <w:rPr>
          <w:rFonts w:eastAsia="等线" w:ascii="Arial" w:cs="Arial" w:hAnsi="Arial"/>
          <w:sz w:val="22"/>
        </w:rPr>
        <w:t>本流程适用于 EBG 所有需要签署合同的业务场景。</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3. </w:t>
      </w:r>
      <w:r>
        <w:rPr>
          <w:rFonts w:eastAsia="等线" w:ascii="Arial" w:cs="Arial" w:hAnsi="Arial"/>
          <w:b w:val="true"/>
          <w:sz w:val="36"/>
        </w:rPr>
        <w:t>名词解释</w:t>
      </w:r>
      <w:bookmarkEnd w:id="5"/>
    </w:p>
    <w:p>
      <w:pPr>
        <w:spacing w:before="120" w:after="120" w:line="288" w:lineRule="auto"/>
        <w:ind w:left="0"/>
        <w:jc w:val="left"/>
      </w:pPr>
      <w:r>
        <w:rPr>
          <w:rFonts w:eastAsia="等线" w:ascii="Arial" w:cs="Arial" w:hAnsi="Arial"/>
          <w:sz w:val="22"/>
        </w:rPr>
        <w:t>无</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4. </w:t>
      </w:r>
      <w:r>
        <w:rPr>
          <w:rFonts w:eastAsia="等线" w:ascii="Arial" w:cs="Arial" w:hAnsi="Arial"/>
          <w:b w:val="true"/>
          <w:sz w:val="36"/>
        </w:rPr>
        <w:t>职责分工</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2745"/>
        <w:gridCol w:w="4575"/>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p>
            <w:pPr>
              <w:spacing w:before="120" w:after="120" w:line="288" w:lineRule="auto"/>
              <w:ind w:left="0"/>
              <w:jc w:val="left"/>
            </w:pP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行业客户代表、行业经理、城市客户代表、城市经理、渠道销售、渠道经理、服务产品销售</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肩负</w:t>
            </w:r>
            <w:r>
              <w:rPr>
                <w:rFonts w:eastAsia="等线" w:ascii="Arial" w:cs="Arial" w:hAnsi="Arial"/>
                <w:sz w:val="22"/>
              </w:rPr>
              <w:t>起签订合同</w:t>
            </w:r>
            <w:r>
              <w:rPr>
                <w:rFonts w:eastAsia="等线" w:ascii="Arial" w:cs="Arial" w:hAnsi="Arial"/>
                <w:sz w:val="22"/>
              </w:rPr>
              <w:t>工作的重任，确保</w:t>
            </w:r>
            <w:r>
              <w:rPr>
                <w:rFonts w:eastAsia="等线" w:ascii="Arial" w:cs="Arial" w:hAnsi="Arial"/>
                <w:sz w:val="22"/>
              </w:rPr>
              <w:t>合同商务条款对我司利益保障最优，并能在立项项目丢单/赢单后及时复盘总结经验</w:t>
            </w:r>
            <w:r>
              <w:rPr>
                <w:rFonts w:eastAsia="等线" w:ascii="Arial" w:cs="Arial" w:hAnsi="Arial"/>
                <w:sz w:val="22"/>
              </w:rPr>
              <w:t>。</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区域经理、系统部本部行业经理（主管）、服务产品销售经理</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对立项项目在签订合同前予以销售对应的指导和策略建议，确保合同商务条款对我司利益保障最优，并能在立项项目丢单/赢单后及时复盘总结经验，将好的经验在市场团队内复制拉通。</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客户体验负责人</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区域客户体验经理、系统部本部客户体验经理</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对客户关系负责人从客户/渠道侧拿回的合同模版，对合同中的服务条款做审核确认，给出明确的评审意见，确保项目无交付风险。</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大区节点经理，重客售前，系统部&amp;区域技术经理，售前</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下单后与</w:t>
            </w:r>
            <w:r>
              <w:rPr>
                <w:rFonts w:eastAsia="等线" w:ascii="Arial" w:cs="Arial" w:hAnsi="Arial"/>
                <w:sz w:val="22"/>
              </w:rPr>
              <w:t>客户体验负责人</w:t>
            </w:r>
            <w:r>
              <w:rPr>
                <w:rFonts w:eastAsia="等线" w:ascii="Arial" w:cs="Arial" w:hAnsi="Arial"/>
                <w:sz w:val="22"/>
              </w:rPr>
              <w:t>进行方案移交；参与赢丢单复盘，协助完成总结报告</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商务助理</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各区域、系统部商务助理</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直签项目，负责协助客户关系负责人组织发起直签项目商务评审流程</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销管BP</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各区域、系统部运营销管BP</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承担立项项目丢单/赢单复盘会议组织的职责，确保每一个立项项目都能在丢单/赢单后的两周内，组织立项项目组成员按时完成复盘并上传相关材料，协助项目经理萃取丢单/赢单经验。</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直签项目商务评审组</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商务助理、信控、法务、销管</w:t>
            </w:r>
          </w:p>
          <w:p>
            <w:pPr>
              <w:spacing w:before="120" w:after="120" w:line="288" w:lineRule="auto"/>
              <w:ind w:left="0"/>
              <w:jc w:val="left"/>
            </w:pP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对客户关系负责人从客户侧拿回的直签合同模版，对合同中的支付条件、交付方式、验收方式、开票/回款方式、法律条款、价格做审核确认，给出明确的评审意见，确保后期项目回款风险最低。</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项目组成员</w:t>
            </w:r>
          </w:p>
          <w:p>
            <w:pPr>
              <w:spacing w:before="120" w:after="120" w:line="288" w:lineRule="auto"/>
              <w:ind w:left="0"/>
              <w:jc w:val="left"/>
            </w:pP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根据商机分类情况，平台管理部、系统部、产品部、客户体验部、解决方案、销售管理部价格组和供应链部门相关人员、区域经理、销管BP</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按时参与立项项目丢单/赢单项目复盘会议，并予以经验指导。</w:t>
            </w:r>
          </w:p>
        </w:tc>
      </w:tr>
    </w:tbl>
    <w:p>
      <w:pPr>
        <w:pStyle w:val="1"/>
        <w:spacing w:before="380" w:after="140" w:line="288" w:lineRule="auto"/>
        <w:ind w:left="0"/>
        <w:jc w:val="left"/>
        <w:outlineLvl w:val="0"/>
      </w:pPr>
      <w:bookmarkStart w:name="heading_7" w:id="7"/>
      <w:r>
        <w:rPr>
          <w:rFonts w:eastAsia="等线" w:ascii="Arial" w:cs="Arial" w:hAnsi="Arial"/>
          <w:color w:val="3370ff"/>
          <w:sz w:val="36"/>
        </w:rPr>
        <w:t xml:space="preserve">5. </w:t>
      </w:r>
      <w:r>
        <w:rPr>
          <w:rFonts w:eastAsia="等线" w:ascii="Arial" w:cs="Arial" w:hAnsi="Arial"/>
          <w:b w:val="true"/>
          <w:sz w:val="36"/>
        </w:rPr>
        <w:t>流程文件评审</w:t>
      </w:r>
      <w:bookmarkEnd w:id="7"/>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5.1 </w:t>
      </w:r>
      <w:r>
        <w:rPr>
          <w:rFonts w:eastAsia="等线" w:ascii="Arial" w:cs="Arial" w:hAnsi="Arial"/>
          <w:b w:val="true"/>
          <w:sz w:val="32"/>
        </w:rPr>
        <w:t>流程卡</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2595"/>
        <w:gridCol w:w="1005"/>
        <w:gridCol w:w="1005"/>
        <w:gridCol w:w="1005"/>
        <w:gridCol w:w="1635"/>
      </w:tblGrid>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流程名称</w:t>
            </w:r>
          </w:p>
        </w:tc>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谈判并签订合同</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流程层级</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流程架构编码</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M11.4</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流程定义</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谈判并签订合同流程是指我司在项目中标后，与下级渠道合作伙伴</w:t>
            </w:r>
            <w:r>
              <w:rPr>
                <w:rFonts w:eastAsia="等线" w:ascii="Arial" w:cs="Arial" w:hAnsi="Arial"/>
                <w:sz w:val="22"/>
              </w:rPr>
              <w:t>或最终用户</w:t>
            </w:r>
            <w:r>
              <w:rPr>
                <w:rFonts w:eastAsia="等线" w:ascii="Arial" w:cs="Arial" w:hAnsi="Arial"/>
                <w:sz w:val="22"/>
              </w:rPr>
              <w:t>就合同条款进行确认，进而促成一级渠道与下级渠道之间签订正式合同</w:t>
            </w:r>
            <w:r>
              <w:rPr>
                <w:rFonts w:eastAsia="等线" w:ascii="Arial" w:cs="Arial" w:hAnsi="Arial"/>
                <w:sz w:val="22"/>
              </w:rPr>
              <w:t>或我司与最终用户签订正式合同</w:t>
            </w:r>
            <w:r>
              <w:rPr>
                <w:rFonts w:eastAsia="等线" w:ascii="Arial" w:cs="Arial" w:hAnsi="Arial"/>
                <w:sz w:val="22"/>
              </w:rPr>
              <w:t>的过程。该流程还包括后续的赢单/丢单总结复盘分析，旨在提炼经验教训，持续优化合作策略与谈判技巧。</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流程目的</w:t>
            </w:r>
          </w:p>
        </w:tc>
        <w:tc>
          <w:tcPr>
            <w:tcW w:w="36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谈判并签订合同流程的主要目的是确保我司在项目中标后，能够与下级渠道合作伙伴</w:t>
            </w:r>
            <w:r>
              <w:rPr>
                <w:rFonts w:eastAsia="等线" w:ascii="Arial" w:cs="Arial" w:hAnsi="Arial"/>
                <w:sz w:val="22"/>
              </w:rPr>
              <w:t>或最终用户</w:t>
            </w:r>
            <w:r>
              <w:rPr>
                <w:rFonts w:eastAsia="等线" w:ascii="Arial" w:cs="Arial" w:hAnsi="Arial"/>
                <w:sz w:val="22"/>
              </w:rPr>
              <w:t>达成明确的、双方均认可的合同条款，从而促成一级渠道与下级渠道之间</w:t>
            </w:r>
            <w:r>
              <w:rPr>
                <w:rFonts w:eastAsia="等线" w:ascii="Arial" w:cs="Arial" w:hAnsi="Arial"/>
                <w:sz w:val="22"/>
              </w:rPr>
              <w:t>，或我司与最终用户之间</w:t>
            </w:r>
            <w:r>
              <w:rPr>
                <w:rFonts w:eastAsia="等线" w:ascii="Arial" w:cs="Arial" w:hAnsi="Arial"/>
                <w:sz w:val="22"/>
              </w:rPr>
              <w:t>建立正式、稳定的合作关系。此流程旨在保护双方利益，明确合作范围与责任，为项目的顺利实施与后续管理奠定坚实基础。同时，通过后续的赢单/丢单总结复盘分析，提炼经验教训，不断优化合作策略与谈判技巧，提升我司的市场竞争力和合作效率。</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流程责任</w:t>
            </w:r>
            <w:r>
              <w:rPr>
                <w:rFonts w:eastAsia="等线" w:ascii="Arial" w:cs="Arial" w:hAnsi="Arial"/>
                <w:b w:val="true"/>
                <w:sz w:val="22"/>
              </w:rPr>
              <w:t>人</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区域经理</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上一层流程名称</w:t>
            </w:r>
          </w:p>
        </w:tc>
        <w:tc>
          <w:tcPr>
            <w:tcW w:w="36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  管理商机</w:t>
            </w:r>
          </w:p>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包含的下层子流程或活动</w:t>
            </w:r>
          </w:p>
        </w:tc>
        <w:tc>
          <w:tcPr>
            <w:tcW w:w="72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制定谈判策划并实施；评审及签订合同；输出商机赢单/丢单总结报告</w:t>
            </w:r>
          </w:p>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流程输入</w:t>
            </w:r>
          </w:p>
        </w:tc>
        <w:tc>
          <w:tcPr>
            <w:tcW w:w="72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投标结果；下级渠道合作伙伴信息；客户及合作伙伴项目需求及商务合同条款；</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tc>
        <w:tc>
          <w:tcPr>
            <w:tcW w:w="72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中标通知书需要保证真实性，明确性和时效。渠道合作伙伴真实，合规；项目需求明确，合同条款符合法律要求，满足客户需求或合作伙伴明确由其承担不一致需求；</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流程输出</w:t>
            </w:r>
          </w:p>
        </w:tc>
        <w:tc>
          <w:tcPr>
            <w:tcW w:w="72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正式合同；合作框架；赢单/丢单总结复盘报告</w:t>
            </w:r>
            <w:r>
              <w:rPr>
                <w:rFonts w:eastAsia="等线" w:ascii="Arial" w:cs="Arial" w:hAnsi="Arial"/>
                <w:sz w:val="22"/>
              </w:rPr>
              <w:t>；</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2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合同要求合法，明确，可执行；合作框架具有灵活性，一致性；赢丢单总结必须客观，及时，规范，真实反应问题，具有参考意义与价值；</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流程起点</w:t>
            </w:r>
          </w:p>
        </w:tc>
        <w:tc>
          <w:tcPr>
            <w:tcW w:w="72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正式中标并进入谈判及签署合同环节或项目</w:t>
            </w:r>
            <w:r>
              <w:rPr>
                <w:rFonts w:eastAsia="等线" w:ascii="Arial" w:cs="Arial" w:hAnsi="Arial"/>
                <w:sz w:val="22"/>
              </w:rPr>
              <w:t>丢单</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流程终点</w:t>
            </w:r>
          </w:p>
        </w:tc>
        <w:tc>
          <w:tcPr>
            <w:tcW w:w="72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crm上项目丢单/下单关闭后，完成丢单/赢单复盘并上传</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流程绩效指标</w:t>
            </w:r>
          </w:p>
        </w:tc>
        <w:tc>
          <w:tcPr>
            <w:tcW w:w="7245" w:type="dxa"/>
            <w:hMerge w:val="restart"/>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立项项目丢单/赢单复盘率100%：</w:t>
            </w:r>
          </w:p>
          <w:p>
            <w:pPr>
              <w:spacing w:before="120" w:after="120" w:line="288" w:lineRule="auto"/>
              <w:ind w:left="453"/>
              <w:jc w:val="left"/>
            </w:pPr>
            <w:r>
              <w:rPr>
                <w:rFonts w:eastAsia="等线" w:ascii="Arial" w:cs="Arial" w:hAnsi="Arial"/>
                <w:sz w:val="22"/>
              </w:rPr>
              <w:t>定义：立项项目丢单/下单后两周内，组织立项项目组成员按时完成复盘并上传相关材料。</w:t>
            </w:r>
            <w:r>
              <w:rPr>
                <w:rFonts w:eastAsia="等线" w:ascii="Arial" w:cs="Arial" w:hAnsi="Arial"/>
                <w:sz w:val="22"/>
              </w:rPr>
              <w:t>（IT看板需求）</w:t>
            </w:r>
          </w:p>
          <w:p>
            <w:pPr>
              <w:spacing w:before="120" w:after="120" w:line="288" w:lineRule="auto"/>
              <w:ind w:left="453"/>
              <w:jc w:val="left"/>
            </w:pPr>
            <w:r>
              <w:rPr>
                <w:rFonts w:eastAsia="等线" w:ascii="Arial" w:cs="Arial" w:hAnsi="Arial"/>
                <w:sz w:val="22"/>
              </w:rPr>
              <w:t>计算方法：立项项目完成复盘的商机数量 / 立项项目的商机数量 × 100%。</w:t>
            </w:r>
          </w:p>
          <w:p>
            <w:pPr>
              <w:spacing w:before="120" w:after="120" w:line="288" w:lineRule="auto"/>
              <w:ind w:left="453"/>
              <w:jc w:val="left"/>
            </w:pPr>
            <w:r>
              <w:rPr>
                <w:rFonts w:eastAsia="等线" w:ascii="Arial" w:cs="Arial" w:hAnsi="Arial"/>
                <w:sz w:val="22"/>
              </w:rPr>
              <w:t>重要性：反映复盘的及时性，确保丢单/赢单经验能够及时萃取。</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635"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5.2 </w:t>
      </w:r>
      <w:r>
        <w:rPr>
          <w:rFonts w:eastAsia="等线" w:ascii="Arial" w:cs="Arial" w:hAnsi="Arial"/>
          <w:b w:val="true"/>
          <w:sz w:val="32"/>
        </w:rPr>
        <w:t>流程图及说明</w:t>
      </w:r>
      <w:bookmarkEnd w:id="9"/>
    </w:p>
    <w:p>
      <w:pPr>
        <w:pStyle w:val="3"/>
        <w:spacing w:before="300" w:after="120" w:line="288" w:lineRule="auto"/>
        <w:ind w:left="453"/>
        <w:jc w:val="left"/>
        <w:outlineLvl w:val="2"/>
      </w:pPr>
      <w:bookmarkStart w:name="heading_10" w:id="10"/>
      <w:r>
        <w:rPr>
          <w:rFonts w:eastAsia="等线" w:ascii="Arial" w:cs="Arial" w:hAnsi="Arial"/>
          <w:color w:val="3370ff"/>
          <w:sz w:val="30"/>
        </w:rPr>
        <w:t xml:space="preserve">5.2.1 </w:t>
      </w:r>
      <w:r>
        <w:rPr>
          <w:rFonts w:eastAsia="等线" w:ascii="Arial" w:cs="Arial" w:hAnsi="Arial"/>
          <w:b w:val="true"/>
          <w:sz w:val="30"/>
        </w:rPr>
        <w:t>L2键盘图</w:t>
      </w:r>
      <w:bookmarkEnd w:id="10"/>
    </w:p>
    <w:p>
      <w:pPr>
        <w:spacing w:before="120" w:after="120" w:line="288" w:lineRule="auto"/>
        <w:ind w:left="453"/>
        <w:jc w:val="center"/>
      </w:pPr>
      <w:r>
        <w:drawing>
          <wp:inline distT="0" distR="0" distB="0" distL="0">
            <wp:extent cx="5257800" cy="2181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5.2.2 </w:t>
      </w:r>
      <w:r>
        <w:rPr>
          <w:rFonts w:eastAsia="等线" w:ascii="Arial" w:cs="Arial" w:hAnsi="Arial"/>
          <w:b w:val="true"/>
          <w:sz w:val="30"/>
        </w:rPr>
        <w:t>L2流程图</w:t>
      </w:r>
      <w:bookmarkEnd w:id="11"/>
    </w:p>
    <w:p>
      <w:pPr>
        <w:spacing w:before="120" w:after="120" w:line="288" w:lineRule="auto"/>
        <w:ind w:left="0"/>
        <w:jc w:val="center"/>
      </w:pPr>
      <w:r>
        <w:drawing>
          <wp:inline distT="0" distR="0" distB="0" distL="0">
            <wp:extent cx="5257800" cy="2114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11455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5.2.3 </w:t>
      </w:r>
      <w:r>
        <w:rPr>
          <w:rFonts w:eastAsia="等线" w:ascii="Arial" w:cs="Arial" w:hAnsi="Arial"/>
          <w:b w:val="true"/>
          <w:sz w:val="30"/>
        </w:rPr>
        <w:t>L3</w:t>
      </w:r>
      <w:r>
        <w:rPr>
          <w:rFonts w:eastAsia="等线" w:ascii="Arial" w:cs="Arial" w:hAnsi="Arial"/>
          <w:b w:val="true"/>
          <w:sz w:val="30"/>
        </w:rPr>
        <w:t>示意图</w:t>
      </w:r>
      <w:bookmarkEnd w:id="12"/>
    </w:p>
    <w:p>
      <w:pPr>
        <w:spacing w:before="120" w:after="120" w:line="288" w:lineRule="auto"/>
        <w:ind w:left="0"/>
        <w:jc w:val="center"/>
      </w:pPr>
      <w:r>
        <w:drawing>
          <wp:inline distT="0" distR="0" distB="0" distL="0">
            <wp:extent cx="5257800" cy="22574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257425"/>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5.2.4 </w:t>
      </w:r>
      <w:r>
        <w:rPr>
          <w:rFonts w:eastAsia="等线" w:ascii="Arial" w:cs="Arial" w:hAnsi="Arial"/>
          <w:b w:val="true"/>
          <w:sz w:val="30"/>
        </w:rPr>
        <w:t>L</w:t>
      </w:r>
      <w:r>
        <w:rPr>
          <w:rFonts w:eastAsia="等线" w:ascii="Arial" w:cs="Arial" w:hAnsi="Arial"/>
          <w:b w:val="true"/>
          <w:sz w:val="30"/>
        </w:rPr>
        <w:t>3</w:t>
      </w:r>
      <w:r>
        <w:rPr>
          <w:rFonts w:eastAsia="等线" w:ascii="Arial" w:cs="Arial" w:hAnsi="Arial"/>
          <w:b w:val="true"/>
          <w:sz w:val="30"/>
        </w:rPr>
        <w:t>流程图</w:t>
      </w:r>
      <w:bookmarkEnd w:id="13"/>
    </w:p>
    <w:p>
      <w:pPr>
        <w:spacing w:before="120" w:after="120" w:line="288" w:lineRule="auto"/>
        <w:ind w:left="0"/>
        <w:jc w:val="center"/>
      </w:pPr>
      <w:r>
        <w:drawing>
          <wp:inline distT="0" distR="0" distB="0" distL="0">
            <wp:extent cx="5257800" cy="3657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657600"/>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5.2.5 </w:t>
      </w:r>
      <w:r>
        <w:rPr>
          <w:rFonts w:eastAsia="等线" w:ascii="Arial" w:cs="Arial" w:hAnsi="Arial"/>
          <w:b w:val="true"/>
          <w:sz w:val="30"/>
        </w:rPr>
        <w:t>流程说明（基于L4关键活动）</w:t>
      </w:r>
      <w:bookmarkEnd w:id="14"/>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25"/>
        <w:gridCol w:w="555"/>
        <w:gridCol w:w="405"/>
        <w:gridCol w:w="1650"/>
        <w:gridCol w:w="390"/>
        <w:gridCol w:w="465"/>
        <w:gridCol w:w="465"/>
        <w:gridCol w:w="465"/>
        <w:gridCol w:w="465"/>
        <w:gridCol w:w="1395"/>
        <w:gridCol w:w="465"/>
        <w:gridCol w:w="465"/>
        <w:gridCol w:w="435"/>
      </w:tblGrid>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活动/子流程</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流程说明</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是否有KCP/KDP</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输出标准（良品条件）</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与下级渠道确认价格和商务条款</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客户关系负责人拿到中标结果后，按照投标前和</w:t>
            </w:r>
            <w:r>
              <w:rPr>
                <w:rFonts w:eastAsia="等线" w:ascii="Arial" w:cs="Arial" w:hAnsi="Arial"/>
                <w:sz w:val="22"/>
              </w:rPr>
              <w:t>下级渠道</w:t>
            </w:r>
            <w:r>
              <w:rPr>
                <w:rFonts w:eastAsia="等线" w:ascii="Arial" w:cs="Arial" w:hAnsi="Arial"/>
                <w:sz w:val="22"/>
              </w:rPr>
              <w:t>谈判的价格和商务</w:t>
            </w:r>
            <w:r>
              <w:rPr>
                <w:rFonts w:eastAsia="等线" w:ascii="Arial" w:cs="Arial" w:hAnsi="Arial"/>
                <w:sz w:val="22"/>
              </w:rPr>
              <w:t>，</w:t>
            </w:r>
            <w:r>
              <w:rPr>
                <w:rFonts w:eastAsia="等线" w:ascii="Arial" w:cs="Arial" w:hAnsi="Arial"/>
                <w:sz w:val="22"/>
              </w:rPr>
              <w:t>和下级渠道沟通，由我司一级渠道或者下级中标渠道输出合同模版；</w:t>
            </w:r>
          </w:p>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非直签</w:t>
            </w:r>
            <w:r>
              <w:rPr>
                <w:rFonts w:eastAsia="等线" w:ascii="Arial" w:cs="Arial" w:hAnsi="Arial"/>
                <w:sz w:val="22"/>
              </w:rPr>
              <w:t>已中标项目</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拿到中标通知书，或者有中标公示链接</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一级渠道或下级中标渠道输出的合同模版</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合同模版上的价格与商务条款，和中期报备一致</w:t>
            </w:r>
          </w:p>
          <w:p>
            <w:pPr>
              <w:spacing w:before="120" w:after="120" w:line="288" w:lineRule="auto"/>
              <w:ind w:left="0"/>
              <w:jc w:val="left"/>
            </w:pP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客户关系负责人需检查招标文件、投标文件里的商务条款，确保合同模版内的内容能够满足客户需求。</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基本无检查或客户关系负责人交给一级渠道检查</w:t>
            </w:r>
          </w:p>
        </w:tc>
        <w:tc>
          <w:tcPr>
            <w:tcW w:w="495"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一级渠道与下级渠道签约</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1、客户关系负责人，就我司一级渠道或者下级中标渠道输出的合同模版，结合双方价格和商务条款达成的共识，完成一级渠道和下级中标渠道的双章盖章。</w:t>
            </w:r>
          </w:p>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一级渠道或下级中标渠道输出的合同模版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合同模版上的价格与商务条款，和中期报备一致</w:t>
            </w:r>
          </w:p>
          <w:p>
            <w:pPr>
              <w:spacing w:before="120" w:after="120" w:line="288" w:lineRule="auto"/>
              <w:ind w:left="0"/>
              <w:jc w:val="left"/>
            </w:pP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一级渠道和下级中标渠道完成合同的双章盖章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一级渠道和下级中标渠道线下或电子签收双章合同</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明确下级渠道合同接收方式，避免因拒收导致合同签订无效。</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直签/非直签项目：谈判并修订合同条款</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1、客户关系负责人拿到合同模版后，客户或下级中标渠道提出二次降价、或提出对我司更不利的商务条款等要求；</w:t>
            </w:r>
          </w:p>
          <w:p>
            <w:pPr>
              <w:spacing w:before="120" w:after="120" w:line="288" w:lineRule="auto"/>
              <w:ind w:left="0"/>
              <w:jc w:val="left"/>
            </w:pPr>
            <w:r>
              <w:rPr>
                <w:rFonts w:eastAsia="等线" w:ascii="Arial" w:cs="Arial" w:hAnsi="Arial"/>
                <w:sz w:val="22"/>
              </w:rPr>
              <w:t>2、客户关系负责人通过谈判技巧，和客户或下级中标渠道在价格和商务条款达成共识，确定最终的合同模版。</w:t>
            </w:r>
          </w:p>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非直签项目：一级渠道或下级中标渠道输出的合同模版</w:t>
            </w:r>
          </w:p>
          <w:p>
            <w:pPr>
              <w:spacing w:before="120" w:after="120" w:line="288" w:lineRule="auto"/>
              <w:ind w:left="0"/>
              <w:jc w:val="left"/>
            </w:pPr>
            <w:r>
              <w:rPr>
                <w:rFonts w:eastAsia="等线" w:ascii="Arial" w:cs="Arial" w:hAnsi="Arial"/>
                <w:sz w:val="22"/>
              </w:rPr>
              <w:t>直签项目：客户输出的合同模版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合同模版上的价格与商务条款，和中期报备一致</w:t>
            </w:r>
          </w:p>
          <w:p>
            <w:pPr>
              <w:spacing w:before="120" w:after="120" w:line="288" w:lineRule="auto"/>
              <w:ind w:left="0"/>
              <w:jc w:val="left"/>
            </w:pP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非直签项目：和下级渠道以及最终用户在价格和商务条款确认共识后的合同模版</w:t>
            </w:r>
          </w:p>
          <w:p>
            <w:pPr>
              <w:spacing w:before="120" w:after="120" w:line="288" w:lineRule="auto"/>
              <w:ind w:left="0"/>
              <w:jc w:val="left"/>
            </w:pPr>
            <w:r>
              <w:rPr>
                <w:rFonts w:eastAsia="等线" w:ascii="Arial" w:cs="Arial" w:hAnsi="Arial"/>
                <w:sz w:val="22"/>
              </w:rPr>
              <w:t>直签项目和最终用户在价格和商务条款确认共识后的合同模版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我司出货价格和折扣不低于投标前中期报备的价格和折扣</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中标后渠道采购、老板或者客户关键人等多个角色进行二次砍价，或提出更苛刻的商务条款要求，例：付款方式、首付比例、账期时间、要货时间等，我司客户关系负责人在高压下会造成对我司不利的决策。</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谈判过程缺乏技巧指导，基本靠客户关系负责人经验，或面临客户、下级渠道压力时以降低我司出货价格和折扣来作为让步。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https://learning.ruijie.com.cn/course/detail.aspx?id=19014</w:t>
            </w:r>
          </w:p>
          <w:p>
            <w:pPr>
              <w:spacing w:before="120" w:after="120" w:line="288" w:lineRule="auto"/>
              <w:ind w:left="0"/>
              <w:jc w:val="left"/>
            </w:pPr>
            <w:r>
              <w:rPr>
                <w:rFonts w:eastAsia="等线" w:ascii="Arial" w:cs="Arial" w:hAnsi="Arial"/>
                <w:sz w:val="22"/>
              </w:rPr>
              <w:t>《步步为赢-项目全流程价格管理策略指南》--场景化价格管理应对策略项目后期报价-标后报价</w:t>
            </w:r>
          </w:p>
        </w:tc>
        <w:tc>
          <w:tcPr>
            <w:tcW w:w="45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售后确认服务条款</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客户体验负责人</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评估合同文件提出的服务需求(如：交付界面、验收周期、交付验收标准、技术规范考核条款、维修/备件上门时效、备件量、硬件最长保修年限、技术人员上门时效、故障排除期限、维保、续保、尤其是关于非标/超标服务部分，3年保还是5年保？需不需要驻场？响应时间SLA，是否有额外特殊服务条款等)，当前是否能够满足和响应；</w:t>
            </w:r>
          </w:p>
          <w:p>
            <w:pPr>
              <w:spacing w:before="120" w:after="120" w:line="288" w:lineRule="auto"/>
              <w:ind w:left="0"/>
              <w:jc w:val="left"/>
            </w:pPr>
            <w:r>
              <w:rPr>
                <w:rFonts w:eastAsia="等线" w:ascii="Arial" w:cs="Arial" w:hAnsi="Arial"/>
                <w:sz w:val="22"/>
              </w:rPr>
              <w:t>2、评估交付能力是否具备，是否选择了无战略产品专项认证的渠道；</w:t>
            </w:r>
          </w:p>
          <w:p>
            <w:pPr>
              <w:spacing w:before="120" w:after="120" w:line="288" w:lineRule="auto"/>
              <w:ind w:left="0"/>
              <w:jc w:val="left"/>
            </w:pPr>
            <w:r>
              <w:rPr>
                <w:rFonts w:eastAsia="等线" w:ascii="Arial" w:cs="Arial" w:hAnsi="Arial"/>
                <w:sz w:val="22"/>
              </w:rPr>
              <w:t>3、服务费率、服务产品合理性评估。</w:t>
            </w:r>
          </w:p>
          <w:p>
            <w:pPr>
              <w:spacing w:before="120" w:after="120" w:line="288" w:lineRule="auto"/>
              <w:ind w:left="0"/>
              <w:jc w:val="left"/>
            </w:pPr>
            <w:r>
              <w:rPr>
                <w:rFonts w:eastAsia="等线" w:ascii="Arial" w:cs="Arial" w:hAnsi="Arial"/>
                <w:sz w:val="22"/>
              </w:rPr>
              <w:t>4、解决方案落地可行性评估、评估客户需求当前是否有对应的服务产品支撑。</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一级渠道或下级中标渠道输出的合同模版</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合同内服务相关的内容界面分工描述清晰</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w:t>
            </w:r>
            <w:r>
              <w:rPr>
                <w:rFonts w:eastAsia="等线" w:ascii="Arial" w:cs="Arial" w:hAnsi="Arial"/>
                <w:sz w:val="22"/>
              </w:rPr>
              <w:t>模版内关于服务板块的指导</w:t>
            </w:r>
            <w:r>
              <w:rPr>
                <w:rFonts w:eastAsia="等线" w:ascii="Arial" w:cs="Arial" w:hAnsi="Arial"/>
                <w:sz w:val="22"/>
              </w:rPr>
              <w:t>意见</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我司能够满足客户的服务需求，且不增加额外的销售成本。</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解决方案落地可行性评估，推动集成商制定工程量清单、评估工程成本。如</w:t>
            </w:r>
            <w:r>
              <w:rPr>
                <w:rFonts w:eastAsia="等线" w:ascii="Arial" w:cs="Arial" w:hAnsi="Arial"/>
                <w:sz w:val="22"/>
              </w:rPr>
              <w:t>：</w:t>
            </w:r>
          </w:p>
          <w:p>
            <w:pPr>
              <w:spacing w:before="120" w:after="120" w:line="288" w:lineRule="auto"/>
              <w:ind w:left="0"/>
              <w:jc w:val="left"/>
            </w:pPr>
            <w:r>
              <w:rPr>
                <w:rFonts w:eastAsia="等线" w:ascii="Arial" w:cs="Arial" w:hAnsi="Arial"/>
                <w:sz w:val="22"/>
              </w:rPr>
              <w:t>①云桌面超分比是否满足XX行业/场景实际用户体验、极简X方案终端管控要求（非常容易忽视，导致口碑事件）；</w:t>
            </w:r>
          </w:p>
          <w:p>
            <w:pPr>
              <w:spacing w:before="120" w:after="120" w:line="288" w:lineRule="auto"/>
              <w:ind w:left="0"/>
              <w:jc w:val="left"/>
            </w:pPr>
            <w:r>
              <w:rPr>
                <w:rFonts w:eastAsia="等线" w:ascii="Arial" w:cs="Arial" w:hAnsi="Arial"/>
                <w:sz w:val="22"/>
              </w:rPr>
              <w:t>②5G/星空/极光方案中关于光纤、光电混合缆、光模块外采导致网络体验不质量的把控和评估。</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大部分项目在签合同的服务板块客户体验经理没有参与，少数为销售碰到问题和困难才会发起。</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极光方案有对应审核标准，其余无</w:t>
            </w:r>
          </w:p>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直签项目：获得合同模板（销售合同/框架合同）</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1、客户关系负责人拿到中标结果后，最终用户会输出合同模版给我司确认；</w:t>
            </w:r>
          </w:p>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非直签已中标项目</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拿到中标通知书，或者有中标公示链接</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客户合同模版</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合同模版上的价格与商务条款，和中期报备一致</w:t>
            </w:r>
          </w:p>
          <w:p>
            <w:pPr>
              <w:spacing w:before="120" w:after="120" w:line="288" w:lineRule="auto"/>
              <w:ind w:left="0"/>
              <w:jc w:val="left"/>
            </w:pP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客户关系负责人需检查招标文件、投标文件里的商务条款，确保合同模版内的内容能够满足客户需求。</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基本无检查</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直签项目：合同评审</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直签项目商务评审组</w:t>
            </w:r>
            <w:r>
              <w:rPr>
                <w:rFonts w:eastAsia="等线" w:ascii="Arial" w:cs="Arial" w:hAnsi="Arial"/>
                <w:sz w:val="22"/>
              </w:rPr>
              <w:t>、商务助理、客户体验负责人</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1、客户关系负责人拿到客户同步的合同模版，同步商务助理，由商务助理在bpms上发起合同评审流程；</w:t>
            </w:r>
          </w:p>
          <w:p>
            <w:pPr>
              <w:spacing w:before="120" w:after="120" w:line="288" w:lineRule="auto"/>
              <w:ind w:left="0"/>
              <w:jc w:val="left"/>
            </w:pPr>
            <w:r>
              <w:rPr>
                <w:rFonts w:eastAsia="等线" w:ascii="Arial" w:cs="Arial" w:hAnsi="Arial"/>
                <w:sz w:val="22"/>
              </w:rPr>
              <w:t>2、客户体验负责人评估合同文件提出的服务需求(如：交付界面、验收周期、交付验收标准、技术规范考核条款、维修/备件上门时效、备件量、硬件最长保修年限、技术人员上门时效、故障排除期限、维保、续保、尤其是关于非标/超标服务部分，3年保还是5年保？需不需要驻场？响应时间SLA，是否有额外特殊服务条款等)，当前是否能够满足和响应；评估交付能力是否具备，是否选择了无战略产品专项认证的渠道；服务费率、服务产品合理性评估；解决方案落地可行性评估、评估客户需求当前是否有对应的服务产品支撑。</w:t>
            </w:r>
          </w:p>
          <w:p>
            <w:pPr>
              <w:spacing w:before="120" w:after="120" w:line="288" w:lineRule="auto"/>
              <w:ind w:left="0"/>
              <w:jc w:val="left"/>
            </w:pPr>
            <w:r>
              <w:rPr>
                <w:rFonts w:eastAsia="等线" w:ascii="Arial" w:cs="Arial" w:hAnsi="Arial"/>
                <w:sz w:val="22"/>
              </w:rPr>
              <w:t>3、由商务/信控/法务/销管在bpms上做并行审批；</w:t>
            </w:r>
          </w:p>
          <w:p>
            <w:pPr>
              <w:spacing w:before="120" w:after="120" w:line="288" w:lineRule="auto"/>
              <w:ind w:left="0"/>
              <w:jc w:val="left"/>
            </w:pPr>
            <w:r>
              <w:rPr>
                <w:rFonts w:eastAsia="等线" w:ascii="Arial" w:cs="Arial" w:hAnsi="Arial"/>
                <w:sz w:val="22"/>
              </w:rPr>
              <w:t>4、各审批人确认通过后，法务在合同模版上盖章输出给销售。</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客户合同模版</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合同模版上的价格与商务条款，和中期报备一致</w:t>
            </w:r>
          </w:p>
          <w:p>
            <w:pPr>
              <w:spacing w:before="120" w:after="120" w:line="288" w:lineRule="auto"/>
              <w:ind w:left="0"/>
              <w:jc w:val="left"/>
            </w:pP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锐捷法务在客户输出的合同模版上盖章</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合同模版上的价格与商务条款，和中期报备一致</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1、客户合同模版上的关于付款方式、验收标准等内容不清晰，存在歧义或模糊地带；</w:t>
            </w:r>
          </w:p>
          <w:p>
            <w:pPr>
              <w:spacing w:before="120" w:after="120" w:line="288" w:lineRule="auto"/>
              <w:ind w:left="0"/>
              <w:jc w:val="left"/>
            </w:pPr>
            <w:r>
              <w:rPr>
                <w:rFonts w:eastAsia="等线" w:ascii="Arial" w:cs="Arial" w:hAnsi="Arial"/>
                <w:sz w:val="22"/>
              </w:rPr>
              <w:t>2、客户直签项目往往客户侧较为强势；</w:t>
            </w:r>
          </w:p>
          <w:p>
            <w:pPr>
              <w:spacing w:before="120" w:after="120" w:line="288" w:lineRule="auto"/>
              <w:ind w:left="0"/>
              <w:jc w:val="left"/>
            </w:pPr>
            <w:r>
              <w:rPr>
                <w:rFonts w:eastAsia="等线" w:ascii="Arial" w:cs="Arial" w:hAnsi="Arial"/>
                <w:sz w:val="22"/>
              </w:rPr>
              <w:t>3、合同内金额、付款方式、交货方式、交货周期、验收标准、服务内容、服务标准、服务价格清晰；</w:t>
            </w:r>
          </w:p>
          <w:p>
            <w:pPr>
              <w:spacing w:before="120" w:after="120" w:line="288" w:lineRule="auto"/>
              <w:ind w:left="0"/>
              <w:jc w:val="left"/>
            </w:pPr>
            <w:r>
              <w:rPr>
                <w:rFonts w:eastAsia="等线" w:ascii="Arial" w:cs="Arial" w:hAnsi="Arial"/>
                <w:sz w:val="22"/>
              </w:rPr>
              <w:t>4、解决方案落地可行性评估，推动集成商制定工程量清单、评估工程成本。如：</w:t>
            </w:r>
          </w:p>
          <w:p>
            <w:pPr>
              <w:spacing w:before="120" w:after="120" w:line="288" w:lineRule="auto"/>
              <w:ind w:left="0"/>
              <w:jc w:val="left"/>
            </w:pPr>
            <w:r>
              <w:rPr>
                <w:rFonts w:eastAsia="等线" w:ascii="Arial" w:cs="Arial" w:hAnsi="Arial"/>
                <w:sz w:val="22"/>
              </w:rPr>
              <w:t>①云桌面超分比是否满足XX行业/场景实际用户体验、极简X方案终端管控要求（非常容易忽视，导致口碑事件）；</w:t>
            </w:r>
          </w:p>
          <w:p>
            <w:pPr>
              <w:spacing w:before="120" w:after="120" w:line="288" w:lineRule="auto"/>
              <w:ind w:left="0"/>
              <w:jc w:val="left"/>
            </w:pPr>
            <w:r>
              <w:rPr>
                <w:rFonts w:eastAsia="等线" w:ascii="Arial" w:cs="Arial" w:hAnsi="Arial"/>
                <w:sz w:val="22"/>
              </w:rPr>
              <w:t>②5G/星空/极光方案中关于光纤、光电混合缆、光模块外采导致网络体验不质量的把控和评估。</w:t>
            </w: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BPMS-合同审批-销售合同审查/框架协议合同审查</w:t>
            </w:r>
          </w:p>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与客户签订合同</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1、客户关系负责人，就我司一级渠道或者下级中标渠道输出的合同模版，结合双方价格和商务条款达成的共识，完成一级渠道和下级中标渠道的双章盖章。</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锐捷法务在客户输出的合同模版上盖章</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合同模版上的价格与商务条款，和中期报备一致</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我司和客户完成合同的双章盖章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我司和客户线下或电子签收双章合同</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明确客户合同接收方式，避免因拒收导致合同签订无效。</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赢/丢单复盘会议</w:t>
            </w:r>
          </w:p>
          <w:p>
            <w:pPr>
              <w:spacing w:before="120" w:after="120" w:line="288" w:lineRule="auto"/>
              <w:ind w:left="0"/>
              <w:jc w:val="left"/>
            </w:pPr>
            <w:r>
              <w:rPr>
                <w:rFonts w:eastAsia="等线" w:ascii="Arial" w:cs="Arial" w:hAnsi="Arial"/>
                <w:color w:val="d83931"/>
                <w:sz w:val="22"/>
              </w:rPr>
              <w:t>（考虑 在业务机会关闭前置）</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r>
              <w:rPr>
                <w:rFonts w:eastAsia="等线" w:ascii="Arial" w:cs="Arial" w:hAnsi="Arial"/>
                <w:sz w:val="22"/>
              </w:rPr>
              <w:t>、客户关系负责人、技术负责人、客户体验负责人、项目组成员</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由项目经理组织，在丢单/中标下单后的两周内，安排相关人员做赢/丢单复盘会议，</w:t>
            </w:r>
            <w:r>
              <w:rPr>
                <w:rFonts w:eastAsia="等线" w:ascii="Arial" w:cs="Arial" w:hAnsi="Arial"/>
                <w:sz w:val="22"/>
              </w:rPr>
              <w:t>明确会议的时间安排、参与人员、讨论的议题，以及如何记录会议内容</w:t>
            </w:r>
            <w:r>
              <w:rPr>
                <w:rFonts w:eastAsia="等线" w:ascii="Arial" w:cs="Arial" w:hAnsi="Arial"/>
                <w:sz w:val="22"/>
              </w:rPr>
              <w:t>，</w:t>
            </w:r>
            <w:r>
              <w:rPr>
                <w:rFonts w:eastAsia="等线" w:ascii="Arial" w:cs="Arial" w:hAnsi="Arial"/>
                <w:sz w:val="22"/>
              </w:rPr>
              <w:t>协调各方时间，确保会议高效有成果</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sz w:val="22"/>
              </w:rPr>
              <w:t>、</w:t>
            </w:r>
            <w:r>
              <w:rPr>
                <w:rFonts w:eastAsia="等线" w:ascii="Arial" w:cs="Arial" w:hAnsi="Arial"/>
                <w:sz w:val="22"/>
              </w:rPr>
              <w:t>结合会议反馈和共识，输出赢/丢单总结报告。</w:t>
            </w:r>
          </w:p>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丢单/中标下单</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crm上的业务机会因丢单或中标下单后自动关单</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输出赢/丢单总结报告</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报告内容为复盘会议上的各方共识</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1、需提前明确项目组相关成员时间，能够按时参会；</w:t>
            </w:r>
          </w:p>
          <w:p>
            <w:pPr>
              <w:spacing w:before="120" w:after="120" w:line="288" w:lineRule="auto"/>
              <w:ind w:left="0"/>
              <w:jc w:val="left"/>
            </w:pPr>
            <w:r>
              <w:rPr>
                <w:rFonts w:eastAsia="等线" w:ascii="Arial" w:cs="Arial" w:hAnsi="Arial"/>
                <w:sz w:val="22"/>
              </w:rPr>
              <w:t>2、各个角色都要有参与和总结反馈，包括项目经理、客户关系负责人、技术负责人、客户体验负责人、项目组成员；</w:t>
            </w:r>
          </w:p>
          <w:p>
            <w:pPr>
              <w:spacing w:before="120" w:after="120" w:line="288" w:lineRule="auto"/>
              <w:ind w:left="0"/>
              <w:jc w:val="left"/>
            </w:pPr>
            <w:r>
              <w:rPr>
                <w:rFonts w:eastAsia="等线" w:ascii="Arial" w:cs="Arial" w:hAnsi="Arial"/>
                <w:sz w:val="22"/>
              </w:rPr>
              <w:t>3、对于复盘不合格的予以打回；</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立项项目丢单/赢单复盘会议各区域、各系统部没有统一标准，项目是否复盘全凭销售自发或主管要求</w:t>
            </w:r>
          </w:p>
        </w:tc>
        <w:tc>
          <w:tcPr>
            <w:tcW w:w="495"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赢单复盘模板——某某区域某某销售-2025年版.pptx</w:t>
            </w:r>
          </w:p>
          <w:p>
            <w:pPr>
              <w:spacing w:before="120" w:after="120" w:line="288" w:lineRule="auto"/>
              <w:ind w:left="0"/>
              <w:jc w:val="left"/>
            </w:pPr>
            <w:r>
              <w:rPr>
                <w:rFonts w:eastAsia="等线" w:ascii="Arial" w:cs="Arial" w:hAnsi="Arial"/>
                <w:sz w:val="22"/>
              </w:rPr>
              <w:t>丢单复盘模板——某某区域某某销售-2025年版.pptx</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上传报告</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1、将赢/丢单总结报告，及时并上传到CRM留痕记录；</w:t>
            </w:r>
          </w:p>
          <w:p>
            <w:pPr>
              <w:spacing w:before="120" w:after="120" w:line="288" w:lineRule="auto"/>
              <w:ind w:left="0"/>
              <w:jc w:val="left"/>
            </w:pPr>
            <w:r>
              <w:rPr>
                <w:rFonts w:eastAsia="等线" w:ascii="Arial" w:cs="Arial" w:hAnsi="Arial"/>
                <w:sz w:val="22"/>
              </w:rPr>
              <w:t>2、萃取到的优秀经验在团队内部做分享拉通。</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输出赢/丢单总结报告</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报告内容为复盘会议上的各方共识</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完成报告的crm上传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crm上的上传留痕所有下一步动作符合smart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1、要结合各方角色的会议纪要输出赢/丢单总结报告；</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业务机会丢单/下单关闭后不需要上传任何材料；</w:t>
            </w:r>
          </w:p>
        </w:tc>
        <w:tc>
          <w:tcPr>
            <w:tcW w:w="495"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发起及跟进会议执行</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销管bp</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1、建立crm看板，在crm上的业务机会因丢单或中标下单后自动关单的一周内，及时识别到，并提醒项目经理及时组织赢/丢单复盘会议；</w:t>
            </w:r>
          </w:p>
          <w:p>
            <w:pPr>
              <w:spacing w:before="120" w:after="120" w:line="288" w:lineRule="auto"/>
              <w:ind w:left="0"/>
              <w:jc w:val="left"/>
            </w:pPr>
            <w:r>
              <w:rPr>
                <w:rFonts w:eastAsia="等线" w:ascii="Arial" w:cs="Arial" w:hAnsi="Arial"/>
                <w:sz w:val="22"/>
              </w:rPr>
              <w:t>2、协助确定赢/丢单复盘会议与会人员名单及时间；</w:t>
            </w:r>
          </w:p>
          <w:p>
            <w:pPr>
              <w:spacing w:before="120" w:after="120" w:line="288" w:lineRule="auto"/>
              <w:ind w:left="0"/>
              <w:jc w:val="left"/>
            </w:pPr>
            <w:r>
              <w:rPr>
                <w:rFonts w:eastAsia="等线" w:ascii="Arial" w:cs="Arial" w:hAnsi="Arial"/>
                <w:sz w:val="22"/>
              </w:rPr>
              <w:t>3、跟进检查复盘会议后复盘材料的及时上传。</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丢单/中标下单</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crm上的业务机会因丢单或中标下单后自动关单</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完成报告的crm上传</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crm上的上传留痕所有下一步动作符合smart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1、赢/丢单复盘分析会需要靠人力来提醒，由于工作较忙可能会遗漏；</w:t>
            </w:r>
          </w:p>
          <w:p>
            <w:pPr>
              <w:spacing w:before="120" w:after="120" w:line="288" w:lineRule="auto"/>
              <w:ind w:left="0"/>
              <w:jc w:val="left"/>
            </w:pPr>
            <w:r>
              <w:rPr>
                <w:rFonts w:eastAsia="等线" w:ascii="Arial" w:cs="Arial" w:hAnsi="Arial"/>
                <w:sz w:val="22"/>
              </w:rPr>
              <w:t>2、通过crm上的关键字段信息，检查复盘材料上传的及时性和有效性。</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无相关跟进提醒。</w:t>
            </w:r>
          </w:p>
        </w:tc>
        <w:tc>
          <w:tcPr>
            <w:tcW w:w="495" w:type="dxa"/>
            <w:tcMar>
              <w:top w:type="dxa" w:w="60"/>
              <w:left w:type="dxa" w:w="120"/>
              <w:bottom w:type="dxa" w:w="30"/>
              <w:right w:type="dxa" w:w="120"/>
            </w:tcMar>
          </w:tcPr>
          <w:p>
            <w:pPr>
              <w:spacing w:before="120" w:after="120" w:line="288" w:lineRule="auto"/>
              <w:ind w:left="0"/>
              <w:jc w:val="left"/>
            </w:pPr>
          </w:p>
        </w:tc>
        <w:tc>
          <w:tcPr>
            <w:tcW w:w="45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453"/>
        <w:jc w:val="left"/>
        <w:outlineLvl w:val="2"/>
      </w:pPr>
      <w:bookmarkStart w:name="heading_15" w:id="15"/>
      <w:r>
        <w:rPr>
          <w:rFonts w:eastAsia="等线" w:ascii="Arial" w:cs="Arial" w:hAnsi="Arial"/>
          <w:b w:val="true"/>
          <w:sz w:val="30"/>
        </w:rPr>
        <w:t>5.3.6 主要角色活动说明</w:t>
      </w:r>
      <w:bookmarkEnd w:id="15"/>
    </w:p>
    <w:p>
      <w:pPr>
        <w:pStyle w:val="4"/>
        <w:spacing w:before="260" w:after="120" w:line="288" w:lineRule="auto"/>
        <w:ind w:left="453"/>
        <w:jc w:val="left"/>
        <w:outlineLvl w:val="3"/>
      </w:pPr>
      <w:bookmarkStart w:name="heading_16" w:id="16"/>
      <w:r>
        <w:rPr>
          <w:rFonts w:eastAsia="等线" w:ascii="Arial" w:cs="Arial" w:hAnsi="Arial"/>
          <w:b w:val="true"/>
          <w:sz w:val="28"/>
        </w:rPr>
        <w:t>5.3.6.1 客户关系负责人角色活动说明</w:t>
      </w:r>
      <w:bookmarkEnd w:id="16"/>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0" o:title=""/>
          </v:shape>
          <o:OLEObject DrawAspect="Icon" ObjectID="_1718471219" ProgID="Excel.Sheet.12" ShapeID="_x0000_i1025" Type="Embed" r:id="rId9"/>
        </w:object>
      </w:r>
    </w:p>
    <w:p>
      <w:pPr>
        <w:spacing w:after="120"/>
        <w:ind w:left="453"/>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7" w:id="17"/>
      <w:r>
        <w:rPr>
          <w:rFonts w:eastAsia="等线" w:ascii="Arial" w:cs="Arial" w:hAnsi="Arial"/>
          <w:b w:val="true"/>
          <w:sz w:val="28"/>
        </w:rPr>
        <w:t xml:space="preserve">      5.3.6.2  </w:t>
      </w:r>
      <w:r>
        <w:rPr>
          <w:rFonts w:eastAsia="等线" w:ascii="Arial" w:cs="Arial" w:hAnsi="Arial"/>
          <w:b w:val="true"/>
          <w:sz w:val="28"/>
        </w:rPr>
        <w:t>项目经理</w:t>
      </w:r>
      <w:r>
        <w:rPr>
          <w:rFonts w:eastAsia="等线" w:ascii="Arial" w:cs="Arial" w:hAnsi="Arial"/>
          <w:b w:val="true"/>
          <w:sz w:val="28"/>
        </w:rPr>
        <w:t>角色活动说明</w:t>
      </w:r>
      <w:bookmarkEnd w:id="17"/>
    </w:p>
    <w:p>
      <w:pPr>
        <w:spacing w:before="120" w:after="120" w:line="288" w:lineRule="auto"/>
        <w:ind w:left="0"/>
      </w:pPr>
      <w:r>
        <w:object>
          <v:shape id="_x0000_i1026" style="width:414pt;height:197pt;mso-width-percent:0;mso-height-percent:0;mso-width-percent:0;mso-height-percent:0" type="#_x0000_t75" o:ole="">
            <v:imagedata r:id="rId12" o:title=""/>
          </v:shape>
          <o:OLEObject DrawAspect="Icon" ObjectID="_1718471220" ProgID="Excel.Sheet.12" ShapeID="_x0000_i1026" Type="Embed" r:id="rId11"/>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8" w:id="18"/>
      <w:r>
        <w:rPr>
          <w:rFonts w:eastAsia="等线" w:ascii="Arial" w:cs="Arial" w:hAnsi="Arial"/>
          <w:b w:val="true"/>
          <w:sz w:val="28"/>
        </w:rPr>
        <w:t xml:space="preserve">5.3.6.3  </w:t>
      </w:r>
      <w:r>
        <w:rPr>
          <w:rFonts w:eastAsia="等线" w:ascii="Arial" w:cs="Arial" w:hAnsi="Arial"/>
          <w:b w:val="true"/>
          <w:sz w:val="28"/>
        </w:rPr>
        <w:t>客户体验负责人</w:t>
      </w:r>
      <w:r>
        <w:rPr>
          <w:rFonts w:eastAsia="等线" w:ascii="Arial" w:cs="Arial" w:hAnsi="Arial"/>
          <w:b w:val="true"/>
          <w:sz w:val="28"/>
        </w:rPr>
        <w:t>角色活动说明</w:t>
      </w:r>
      <w:bookmarkEnd w:id="18"/>
    </w:p>
    <w:p>
      <w:pPr>
        <w:spacing w:before="120" w:after="120" w:line="288" w:lineRule="auto"/>
        <w:ind w:left="0"/>
      </w:pPr>
      <w:r>
        <w:object>
          <v:shape id="_x0000_i1027" style="width:414pt;height:197pt;mso-width-percent:0;mso-height-percent:0;mso-width-percent:0;mso-height-percent:0" type="#_x0000_t75" o:ole="">
            <v:imagedata r:id="rId14" o:title=""/>
          </v:shape>
          <o:OLEObject DrawAspect="Icon" ObjectID="_1718471221" ProgID="Excel.Sheet.12" ShapeID="_x0000_i1027" Type="Embed" r:id="rId13"/>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sz w:val="28"/>
        </w:rPr>
        <w:t>5.3.6.4 商务助理角色活动说明</w:t>
      </w:r>
      <w:bookmarkEnd w:id="19"/>
    </w:p>
    <w:p>
      <w:pPr>
        <w:spacing w:before="120" w:after="120" w:line="288" w:lineRule="auto"/>
        <w:ind w:left="0"/>
      </w:pPr>
      <w:r>
        <w:object>
          <v:shape id="_x0000_i1028" style="width:414pt;height:197pt;mso-width-percent:0;mso-height-percent:0;mso-width-percent:0;mso-height-percent:0" type="#_x0000_t75" o:ole="">
            <v:imagedata r:id="rId16" o:title=""/>
          </v:shape>
          <o:OLEObject DrawAspect="Icon" ObjectID="_1718471222" ProgID="Excel.Sheet.12" ShapeID="_x0000_i1028" Type="Embed" r:id="rId15"/>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0" w:id="20"/>
      <w:r>
        <w:rPr>
          <w:rFonts w:eastAsia="等线" w:ascii="Arial" w:cs="Arial" w:hAnsi="Arial"/>
          <w:b w:val="true"/>
          <w:sz w:val="28"/>
        </w:rPr>
        <w:t xml:space="preserve">5.3.6.5 </w:t>
      </w:r>
      <w:r>
        <w:rPr>
          <w:rFonts w:eastAsia="等线" w:ascii="Arial" w:cs="Arial" w:hAnsi="Arial"/>
          <w:b w:val="true"/>
          <w:sz w:val="28"/>
        </w:rPr>
        <w:t>销</w:t>
      </w:r>
      <w:r>
        <w:rPr>
          <w:rFonts w:eastAsia="等线" w:ascii="Arial" w:cs="Arial" w:hAnsi="Arial"/>
          <w:b w:val="true"/>
          <w:sz w:val="28"/>
        </w:rPr>
        <w:t>管</w:t>
      </w:r>
      <w:r>
        <w:rPr>
          <w:rFonts w:eastAsia="等线" w:ascii="Arial" w:cs="Arial" w:hAnsi="Arial"/>
          <w:b w:val="true"/>
          <w:sz w:val="28"/>
        </w:rPr>
        <w:t>BP角色活动说明</w:t>
      </w:r>
      <w:bookmarkEnd w:id="20"/>
    </w:p>
    <w:p>
      <w:pPr>
        <w:spacing w:before="120" w:after="120" w:line="288" w:lineRule="auto"/>
        <w:ind w:left="0"/>
      </w:pPr>
      <w:r>
        <w:object>
          <v:shape id="_x0000_i1029" style="width:414pt;height:197pt;mso-width-percent:0;mso-height-percent:0;mso-width-percent:0;mso-height-percent:0" type="#_x0000_t75" o:ole="">
            <v:imagedata r:id="rId18" o:title=""/>
          </v:shape>
          <o:OLEObject DrawAspect="Icon" ObjectID="_1718471223" ProgID="Excel.Sheet.12" ShapeID="_x0000_i1029"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5.3 </w:t>
      </w:r>
      <w:r>
        <w:rPr>
          <w:rFonts w:eastAsia="等线" w:ascii="Arial" w:cs="Arial" w:hAnsi="Arial"/>
          <w:b w:val="true"/>
          <w:sz w:val="32"/>
        </w:rPr>
        <w:t>KCP、KDP指导书</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705"/>
        <w:gridCol w:w="1695"/>
        <w:gridCol w:w="1440"/>
        <w:gridCol w:w="1440"/>
        <w:gridCol w:w="2205"/>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KCP/KDP说明</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KCP/KDP负责人</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M11.4.2 </w:t>
            </w:r>
            <w:r>
              <w:rPr>
                <w:rFonts w:eastAsia="等线" w:ascii="Arial" w:cs="Arial" w:hAnsi="Arial"/>
                <w:sz w:val="22"/>
              </w:rPr>
              <w:t>评审及签订合同</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直签项目：合同评审</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为了保证直签合同签署质量，降低业务</w:t>
            </w:r>
            <w:r>
              <w:rPr>
                <w:rFonts w:eastAsia="等线" w:ascii="Arial" w:cs="Arial" w:hAnsi="Arial"/>
                <w:sz w:val="22"/>
              </w:rPr>
              <w:t>风险</w:t>
            </w:r>
            <w:r>
              <w:rPr>
                <w:rFonts w:eastAsia="等线" w:ascii="Arial" w:cs="Arial" w:hAnsi="Arial"/>
                <w:sz w:val="22"/>
              </w:rPr>
              <w:t>，通过合同评审KCP，组织不同部门的核心人员通过评审会的形式去对直签合同内容进行评审，主要涉及部门包括：商务，</w:t>
            </w:r>
            <w:r>
              <w:rPr>
                <w:rFonts w:eastAsia="等线" w:ascii="Arial" w:cs="Arial" w:hAnsi="Arial"/>
                <w:sz w:val="22"/>
              </w:rPr>
              <w:t>信控，</w:t>
            </w:r>
            <w:r>
              <w:rPr>
                <w:rFonts w:eastAsia="等线" w:ascii="Arial" w:cs="Arial" w:hAnsi="Arial"/>
                <w:sz w:val="22"/>
              </w:rPr>
              <w:t>法务，</w:t>
            </w:r>
            <w:r>
              <w:rPr>
                <w:rFonts w:eastAsia="等线" w:ascii="Arial" w:cs="Arial" w:hAnsi="Arial"/>
                <w:sz w:val="22"/>
              </w:rPr>
              <w:t>销管，</w:t>
            </w:r>
            <w:r>
              <w:rPr>
                <w:rFonts w:eastAsia="等线" w:ascii="Arial" w:cs="Arial" w:hAnsi="Arial"/>
                <w:sz w:val="22"/>
              </w:rPr>
              <w:t>客户体验</w:t>
            </w:r>
            <w:r>
              <w:rPr>
                <w:rFonts w:eastAsia="等线" w:ascii="Arial" w:cs="Arial" w:hAnsi="Arial"/>
                <w:sz w:val="22"/>
              </w:rPr>
              <w:t>部。</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商务助理</w:t>
            </w:r>
          </w:p>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bpms--法务管理--合同审批--销售合同审查/框架协议合同审查</w:t>
            </w:r>
          </w:p>
          <w:p>
            <w:pPr>
              <w:spacing w:before="120" w:after="120" w:line="288" w:lineRule="auto"/>
              <w:ind w:left="0"/>
              <w:jc w:val="left"/>
            </w:pP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非新增</w:t>
            </w:r>
          </w:p>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M11.4.3 输出商机赢单/丢单报告总结</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赢/丢单复盘会议</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所有立项项目在中标下单或丢单后的两周内，都能及时复盘总结，及时萃取经验和教训，便于团队内部拉通。</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赢单复盘模板——某某区域某某销售-2025年版.pptx</w:t>
              <w:br/>
            </w:r>
            <w:r>
              <w:rPr>
                <w:rFonts w:eastAsia="等线" w:ascii="Arial" w:cs="Arial" w:hAnsi="Arial"/>
                <w:sz w:val="22"/>
              </w:rPr>
              <w:t>丢单复盘模板——某某区域某某销售-2025年版.pptx</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bl>
    <w:p>
      <w:pPr>
        <w:pStyle w:val="1"/>
        <w:spacing w:before="380" w:after="140" w:line="288" w:lineRule="auto"/>
        <w:ind w:left="0"/>
        <w:jc w:val="left"/>
        <w:outlineLvl w:val="0"/>
      </w:pPr>
      <w:bookmarkStart w:name="heading_22" w:id="22"/>
      <w:r>
        <w:rPr>
          <w:rFonts w:eastAsia="等线" w:ascii="Arial" w:cs="Arial" w:hAnsi="Arial"/>
          <w:color w:val="3370ff"/>
          <w:sz w:val="36"/>
        </w:rPr>
        <w:t xml:space="preserve">6. </w:t>
      </w:r>
      <w:r>
        <w:rPr>
          <w:rFonts w:eastAsia="等线" w:ascii="Arial" w:cs="Arial" w:hAnsi="Arial"/>
          <w:b w:val="true"/>
          <w:sz w:val="36"/>
        </w:rPr>
        <w:t>解释权限及生效日期</w:t>
      </w:r>
      <w:bookmarkEnd w:id="22"/>
    </w:p>
    <w:p>
      <w:pPr>
        <w:spacing w:before="120" w:after="120" w:line="288" w:lineRule="auto"/>
        <w:ind w:left="453"/>
        <w:jc w:val="left"/>
      </w:pPr>
      <w:r>
        <w:rPr>
          <w:rFonts w:eastAsia="等线" w:ascii="Arial" w:cs="Arial" w:hAnsi="Arial"/>
          <w:sz w:val="22"/>
        </w:rPr>
        <w:t>本文档的解释权归属流程管理部。</w:t>
      </w:r>
    </w:p>
    <w:p>
      <w:pPr>
        <w:spacing w:before="120" w:after="120" w:line="288" w:lineRule="auto"/>
        <w:ind w:left="453"/>
        <w:jc w:val="left"/>
      </w:pPr>
      <w:r>
        <w:rPr>
          <w:rFonts w:eastAsia="等线" w:ascii="Arial" w:cs="Arial" w:hAnsi="Arial"/>
          <w:sz w:val="22"/>
        </w:rPr>
        <w:t>本文档自发布之日起生效。</w:t>
      </w: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298">
    <w:lvl>
      <w:start w:val="1"/>
      <w:numFmt w:val="decimal"/>
      <w:suff w:val="tab"/>
      <w:lvlText w:val="%1."/>
      <w:rPr>
        <w:color w:val="3370ff"/>
      </w:rPr>
    </w:lvl>
  </w:abstractNum>
  <w:num w:numId="1">
    <w:abstractNumId w:val="82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embeddings/Microsoft_Excel_Worksheet2.xlsx" Type="http://schemas.openxmlformats.org/officeDocument/2006/relationships/package"/><Relationship Id="rId12" Target="media/image6.png" Type="http://schemas.openxmlformats.org/officeDocument/2006/relationships/image"/><Relationship Id="rId13" Target="embeddings/Microsoft_Excel_Worksheet3.xlsx" Type="http://schemas.openxmlformats.org/officeDocument/2006/relationships/package"/><Relationship Id="rId14" Target="media/image7.png" Type="http://schemas.openxmlformats.org/officeDocument/2006/relationships/image"/><Relationship Id="rId15" Target="embeddings/Microsoft_Excel_Worksheet4.xlsx" Type="http://schemas.openxmlformats.org/officeDocument/2006/relationships/package"/><Relationship Id="rId16" Target="media/image8.png" Type="http://schemas.openxmlformats.org/officeDocument/2006/relationships/image"/><Relationship Id="rId17" Target="embeddings/Microsoft_Excel_Worksheet5.xlsx" Type="http://schemas.openxmlformats.org/officeDocument/2006/relationships/package"/><Relationship Id="rId18" Target="media/image9.pn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embeddings/Microsoft_Excel_Worksheet1.xlsx" Type="http://schemas.openxmlformats.org/officeDocument/2006/relationships/package"/></Relationships>
</file>

<file path=word/_rels/header1.xml.rels><?xml version="1.0" encoding="UTF-8" standalone="yes"?><Relationships xmlns="http://schemas.openxmlformats.org/package/2006/relationships"><Relationship Id="rId1" Target="media/image10.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2025-05-13T08:46:21Z</dcterms:created>
  <dc:creator>Apache POI</dc:creator>
</cp:coreProperties>
</file>