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M12.4-管理订单履行说明文件-V0.9</w:t>
      </w:r>
    </w:p>
    <w:p>
      <w:pPr>
        <w:spacing w:before="120" w:after="120" w:line="288" w:lineRule="auto"/>
        <w:ind w:left="0" w:firstLine="0"/>
        <w:jc w:val="left"/>
      </w:pPr>
      <w:r>
        <w:rPr>
          <w:rFonts w:eastAsia="等线" w:ascii="Arial" w:cs="Arial" w:hAnsi="Arial"/>
          <w:b w:val="true"/>
          <w:sz w:val="22"/>
        </w:rPr>
        <w:t>M12.4-管理订单履行说明文件-V0.9</w:t>
      </w:r>
    </w:p>
    <w:p>
      <w:pPr>
        <w:spacing w:before="120" w:after="120" w:line="288" w:lineRule="auto"/>
        <w:ind w:left="0" w:firstLine="0"/>
        <w:jc w:val="left"/>
      </w:pPr>
    </w:p>
    <w:p>
      <w:pPr>
        <w:spacing w:before="120" w:after="120" w:line="288" w:lineRule="auto"/>
        <w:ind w:left="0" w:firstLine="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M12.4 管理订单履行流程</w:t>
      </w:r>
      <w:bookmarkEnd w:id="0"/>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文件名称：管理订单履行流程说明文件</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文件编号：MTCV-MDG-M12.4-P-管理订单履行流程-V0.9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生效日期：2025/3/28</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PO：刘福能</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PO：詹月奇</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流程组团队成员：丁玲、李强、黄小菲、黄海燕、洪建武</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流程PO：詹月奇/丁玲</w:t>
            </w:r>
          </w:p>
          <w:p>
            <w:pPr>
              <w:spacing w:before="120" w:after="120" w:line="288" w:lineRule="auto"/>
              <w:ind w:left="0"/>
              <w:jc w:val="left"/>
            </w:pPr>
            <w:r>
              <w:rPr>
                <w:rFonts w:eastAsia="等线" w:ascii="Arial" w:cs="Arial" w:hAnsi="Arial"/>
                <w:sz w:val="22"/>
              </w:rPr>
              <w:t>流程PC：洪柳</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刘福能</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2025/3/28</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bl>
    <w:p>
      <w:pPr>
        <w:pStyle w:val="1"/>
        <w:spacing w:before="380" w:after="140" w:line="288" w:lineRule="auto"/>
        <w:ind w:left="0"/>
        <w:jc w:val="left"/>
        <w:outlineLvl w:val="0"/>
      </w:pPr>
      <w:bookmarkStart w:name="heading_1" w:id="1"/>
      <w:r>
        <w:rPr>
          <w:rFonts w:eastAsia="等线" w:ascii="Arial" w:cs="Arial" w:hAnsi="Arial"/>
          <w:b w:val="true"/>
          <w:color w:val="245bdb"/>
          <w:sz w:val="36"/>
        </w:rPr>
        <w:t xml:space="preserve">1. </w:t>
      </w:r>
      <w:r>
        <w:rPr>
          <w:rFonts w:eastAsia="等线" w:ascii="Arial" w:cs="Arial" w:hAnsi="Arial"/>
          <w:b w:val="true"/>
          <w:sz w:val="36"/>
        </w:rPr>
        <w:t>目的</w:t>
      </w:r>
      <w:bookmarkEnd w:id="1"/>
    </w:p>
    <w:p>
      <w:pPr>
        <w:spacing w:before="120" w:after="120" w:line="288" w:lineRule="auto"/>
        <w:ind w:left="0" w:firstLine="0"/>
        <w:jc w:val="left"/>
      </w:pPr>
      <w:r>
        <w:rPr>
          <w:rFonts w:eastAsia="等线" w:ascii="Arial" w:cs="Arial" w:hAnsi="Arial"/>
          <w:sz w:val="22"/>
        </w:rPr>
        <w:t>本流程专注于供应交付的订单履行环节，流程通过明确订单履行过程中的职责分工，确保订单高效准确履行的同时，有效控制资金与库存风险，实现客户满意度提升与运营成本精进的双效果。</w:t>
      </w:r>
    </w:p>
    <w:p>
      <w:pPr>
        <w:pStyle w:val="1"/>
        <w:spacing w:before="380" w:after="140" w:line="288" w:lineRule="auto"/>
        <w:ind w:left="0"/>
        <w:jc w:val="left"/>
        <w:outlineLvl w:val="0"/>
      </w:pPr>
      <w:bookmarkStart w:name="heading_2" w:id="2"/>
      <w:r>
        <w:rPr>
          <w:rFonts w:eastAsia="等线" w:ascii="Arial" w:cs="Arial" w:hAnsi="Arial"/>
          <w:b w:val="true"/>
          <w:color w:val="245bdb"/>
          <w:sz w:val="36"/>
        </w:rPr>
        <w:t xml:space="preserve">2. </w:t>
      </w:r>
      <w:r>
        <w:rPr>
          <w:rFonts w:eastAsia="等线" w:ascii="Arial" w:cs="Arial" w:hAnsi="Arial"/>
          <w:b w:val="true"/>
          <w:sz w:val="36"/>
        </w:rPr>
        <w:t>适用范围</w:t>
      </w:r>
      <w:bookmarkEnd w:id="2"/>
    </w:p>
    <w:p>
      <w:pPr>
        <w:spacing w:before="120" w:after="120" w:line="288" w:lineRule="auto"/>
        <w:ind w:left="0" w:firstLine="0"/>
        <w:jc w:val="left"/>
      </w:pPr>
      <w:r>
        <w:rPr>
          <w:rFonts w:eastAsia="等线" w:ascii="Arial" w:cs="Arial" w:hAnsi="Arial"/>
          <w:sz w:val="22"/>
        </w:rPr>
        <w:t>本流程适用于 EBG 所有订单履行交付的业务场景。</w:t>
      </w:r>
    </w:p>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3. </w:t>
      </w:r>
      <w:r>
        <w:rPr>
          <w:rFonts w:eastAsia="等线" w:ascii="Arial" w:cs="Arial" w:hAnsi="Arial"/>
          <w:b w:val="true"/>
          <w:sz w:val="36"/>
        </w:rPr>
        <w:t>名词解释</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55"/>
        <w:gridCol w:w="1350"/>
        <w:gridCol w:w="5775"/>
      </w:tblGrid>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英文全称</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订单承诺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Commitment</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根据库存及入库计划对订单中的每行产品承诺可供应的时间</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订单齐套</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set of orders</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订单中所有产品均可供应的状态</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交付风险</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Risk</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订单不满足客户需求，存在退单、违约、客诉等风险</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变更交期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delivery date</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在系统上变更订单中对应产品的约定交期</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风险等级</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 Level</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根据项目背景信息、交付紧急程度、供应延期时间以及交付不及时将会造成的后果等综合信息确认交付风险等级。</w:t>
            </w:r>
          </w:p>
          <w:p>
            <w:pPr>
              <w:spacing w:before="120" w:after="120" w:line="288" w:lineRule="auto"/>
              <w:ind w:left="0"/>
              <w:jc w:val="left"/>
            </w:pPr>
            <w:r>
              <w:rPr>
                <w:rFonts w:eastAsia="等线" w:ascii="Arial" w:cs="Arial" w:hAnsi="Arial"/>
                <w:sz w:val="22"/>
              </w:rPr>
              <w:t>风险等级供分一级风险、二级风险以及三级风险</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订单变更</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Changes</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下单后因客户原因，需求时间变更或要货清单变更</w:t>
            </w:r>
          </w:p>
        </w:tc>
      </w:tr>
    </w:tbl>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4. </w:t>
      </w:r>
      <w:r>
        <w:rPr>
          <w:rFonts w:eastAsia="等线" w:ascii="Arial" w:cs="Arial" w:hAnsi="Arial"/>
          <w:b w:val="true"/>
          <w:sz w:val="36"/>
        </w:rPr>
        <w:t>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55"/>
        <w:gridCol w:w="1350"/>
        <w:gridCol w:w="5775"/>
      </w:tblGrid>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销售团队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行业销售、行业经理/城市经理</w:t>
            </w:r>
          </w:p>
        </w:tc>
        <w:tc>
          <w:tcPr>
            <w:tcW w:w="577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负责与客户确认订单交付预期，到货批次安排情况及收货地址等情况</w:t>
            </w:r>
          </w:p>
          <w:p>
            <w:pPr>
              <w:numPr>
                <w:numId w:val="2"/>
              </w:numPr>
              <w:spacing w:before="120" w:after="120" w:line="288" w:lineRule="auto"/>
              <w:ind w:left="0"/>
              <w:jc w:val="left"/>
            </w:pPr>
            <w:r>
              <w:rPr>
                <w:rFonts w:eastAsia="等线" w:ascii="Arial" w:cs="Arial" w:hAnsi="Arial"/>
                <w:sz w:val="22"/>
              </w:rPr>
              <w:t>负责发起并完成特价审批流程</w:t>
            </w:r>
          </w:p>
          <w:p>
            <w:pPr>
              <w:numPr>
                <w:numId w:val="3"/>
              </w:numPr>
              <w:spacing w:before="120" w:after="120" w:line="288" w:lineRule="auto"/>
              <w:ind w:left="0"/>
              <w:jc w:val="left"/>
            </w:pPr>
            <w:r>
              <w:rPr>
                <w:rFonts w:eastAsia="等线" w:ascii="Arial" w:cs="Arial" w:hAnsi="Arial"/>
                <w:sz w:val="22"/>
              </w:rPr>
              <w:t>负责发起下单流程，并协调推进客户付款等事宜</w:t>
            </w:r>
          </w:p>
          <w:p>
            <w:pPr>
              <w:numPr>
                <w:numId w:val="4"/>
              </w:numPr>
              <w:spacing w:before="120" w:after="120" w:line="288" w:lineRule="auto"/>
              <w:ind w:left="0"/>
              <w:jc w:val="left"/>
            </w:pPr>
            <w:r>
              <w:rPr>
                <w:rFonts w:eastAsia="等线" w:ascii="Arial" w:cs="Arial" w:hAnsi="Arial"/>
                <w:sz w:val="22"/>
              </w:rPr>
              <w:t>交付过程中，与交付统筹对接，做好客户与统筹之间的沟通，确保客户需求与实际交付达成共识</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订单评审团队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产品经理、供应代表、销管、法务、信控</w:t>
            </w:r>
          </w:p>
        </w:tc>
        <w:tc>
          <w:tcPr>
            <w:tcW w:w="5775"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评估订单涉及产品的受控情况与可供性，确认订单用途是否特殊类型，如是否为冲销样机、销售借用</w:t>
            </w:r>
          </w:p>
          <w:p>
            <w:pPr>
              <w:numPr>
                <w:numId w:val="6"/>
              </w:numPr>
              <w:spacing w:before="120" w:after="120" w:line="288" w:lineRule="auto"/>
              <w:ind w:left="0"/>
              <w:jc w:val="left"/>
            </w:pPr>
            <w:r>
              <w:rPr>
                <w:rFonts w:eastAsia="等线" w:ascii="Arial" w:cs="Arial" w:hAnsi="Arial"/>
                <w:sz w:val="22"/>
              </w:rPr>
              <w:t>评估账期及客期合理性，控制承诺，评估服务合同、价格、折扣合理性</w:t>
            </w:r>
          </w:p>
          <w:p>
            <w:pPr>
              <w:numPr>
                <w:numId w:val="7"/>
              </w:numPr>
              <w:spacing w:before="120" w:after="120" w:line="288" w:lineRule="auto"/>
              <w:ind w:left="0"/>
              <w:jc w:val="left"/>
            </w:pPr>
            <w:r>
              <w:rPr>
                <w:rFonts w:eastAsia="等线" w:ascii="Arial" w:cs="Arial" w:hAnsi="Arial"/>
                <w:sz w:val="22"/>
              </w:rPr>
              <w:t>评估报备与下单信息一致性，评估相关材料收取齐全性</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总代理商、渠道集成商</w:t>
            </w:r>
          </w:p>
        </w:tc>
        <w:tc>
          <w:tcPr>
            <w:tcW w:w="5775"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负责确定订单并签订合同，依据合同要求完成预付款处理</w:t>
            </w:r>
          </w:p>
          <w:p>
            <w:pPr>
              <w:numPr>
                <w:numId w:val="9"/>
              </w:numPr>
              <w:spacing w:before="120" w:after="120" w:line="288" w:lineRule="auto"/>
              <w:ind w:left="0"/>
              <w:jc w:val="left"/>
            </w:pPr>
            <w:r>
              <w:rPr>
                <w:rFonts w:eastAsia="等线" w:ascii="Arial" w:cs="Arial" w:hAnsi="Arial"/>
                <w:sz w:val="22"/>
              </w:rPr>
              <w:t>负责依据订单齐套情况，确认分批发货需求，根据需求付款及在CES提交分批发货流程</w:t>
            </w:r>
          </w:p>
          <w:p>
            <w:pPr>
              <w:numPr>
                <w:numId w:val="10"/>
              </w:numPr>
              <w:spacing w:before="120" w:after="120" w:line="288" w:lineRule="auto"/>
              <w:ind w:left="0"/>
              <w:jc w:val="left"/>
            </w:pPr>
            <w:r>
              <w:rPr>
                <w:rFonts w:eastAsia="等线" w:ascii="Arial" w:cs="Arial" w:hAnsi="Arial"/>
                <w:sz w:val="22"/>
              </w:rPr>
              <w:t>负责配合付款异常及签收异常的处理</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区域商务助理</w:t>
            </w:r>
          </w:p>
        </w:tc>
        <w:tc>
          <w:tcPr>
            <w:tcW w:w="5775"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检查合同盖章件完整性，复核订单描述与相关材料的一致性</w:t>
            </w:r>
          </w:p>
          <w:p>
            <w:pPr>
              <w:numPr>
                <w:numId w:val="12"/>
              </w:numPr>
              <w:spacing w:before="120" w:after="120" w:line="288" w:lineRule="auto"/>
              <w:ind w:left="0"/>
              <w:jc w:val="left"/>
            </w:pPr>
            <w:r>
              <w:rPr>
                <w:rFonts w:eastAsia="等线" w:ascii="Arial" w:cs="Arial" w:hAnsi="Arial"/>
                <w:sz w:val="22"/>
              </w:rPr>
              <w:t>点击发布合同，将订单下传至ERP进入订单备货环节</w:t>
            </w:r>
          </w:p>
          <w:p>
            <w:pPr>
              <w:numPr>
                <w:numId w:val="13"/>
              </w:numPr>
              <w:spacing w:before="120" w:after="120" w:line="288" w:lineRule="auto"/>
              <w:ind w:left="0"/>
              <w:jc w:val="left"/>
            </w:pPr>
            <w:r>
              <w:rPr>
                <w:rFonts w:eastAsia="等线" w:ascii="Arial" w:cs="Arial" w:hAnsi="Arial"/>
                <w:sz w:val="22"/>
              </w:rPr>
              <w:t>负责付款异常的处理，发起和跟进撤单流程，超期订单跟催客户完成货款及罚息</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供应统筹团队</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产品统筹、区域统筹、统筹主管</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负责协调供应链各环节，及时维护交期和保障产品及时供应，对订单按期交付负责</w:t>
            </w:r>
          </w:p>
          <w:p>
            <w:pPr>
              <w:numPr>
                <w:numId w:val="14"/>
              </w:numPr>
              <w:spacing w:before="120" w:after="120" w:line="288" w:lineRule="auto"/>
              <w:ind w:left="0"/>
              <w:jc w:val="left"/>
            </w:pPr>
            <w:r>
              <w:rPr>
                <w:rFonts w:eastAsia="等线" w:ascii="Arial" w:cs="Arial" w:hAnsi="Arial"/>
                <w:sz w:val="22"/>
              </w:rPr>
              <w:t>负责依据分配规则进行订单交期的承诺</w:t>
            </w:r>
          </w:p>
          <w:p>
            <w:pPr>
              <w:numPr>
                <w:numId w:val="15"/>
              </w:numPr>
              <w:spacing w:before="120" w:after="120" w:line="288" w:lineRule="auto"/>
              <w:ind w:left="0"/>
              <w:jc w:val="left"/>
            </w:pPr>
            <w:r>
              <w:rPr>
                <w:rFonts w:eastAsia="等线" w:ascii="Arial" w:cs="Arial" w:hAnsi="Arial"/>
                <w:sz w:val="22"/>
              </w:rPr>
              <w:t>负责履行订单风险管理升级，针对不满足客户需求时的产品交期拉通，协调PC/采购、产品经理、供应代表、产品计划等多部门提供解决方案</w:t>
            </w:r>
          </w:p>
          <w:p>
            <w:pPr>
              <w:numPr>
                <w:numId w:val="16"/>
              </w:numPr>
              <w:spacing w:before="120" w:after="120" w:line="288" w:lineRule="auto"/>
              <w:ind w:left="0"/>
              <w:jc w:val="left"/>
            </w:pPr>
            <w:r>
              <w:rPr>
                <w:rFonts w:eastAsia="等线" w:ascii="Arial" w:cs="Arial" w:hAnsi="Arial"/>
                <w:sz w:val="22"/>
              </w:rPr>
              <w:t>负责跟进并识别交期齐套的风险，如异常交期的判断，并履行订单风险管理升级，确保订单在交付时间齐套，对接区域销售/商务，明确市场端发货需求，识别供应风险点，收集供应不及时会造成的影响</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央库营运专员、配送服务专员、回单管理专员</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负责物流发货与配送各环节，按要求配送并保障产品完整签收，对发货单按期完整配送负责</w:t>
            </w:r>
          </w:p>
          <w:p>
            <w:pPr>
              <w:numPr>
                <w:numId w:val="17"/>
              </w:numPr>
              <w:spacing w:before="120" w:after="120" w:line="288" w:lineRule="auto"/>
              <w:ind w:left="0"/>
              <w:jc w:val="left"/>
            </w:pPr>
            <w:r>
              <w:rPr>
                <w:rFonts w:eastAsia="等线" w:ascii="Arial" w:cs="Arial" w:hAnsi="Arial"/>
                <w:sz w:val="22"/>
              </w:rPr>
              <w:t>负责管理和协调货物的发货流程，确保货物按时、准确地发出；</w:t>
            </w:r>
          </w:p>
          <w:p>
            <w:pPr>
              <w:numPr>
                <w:numId w:val="18"/>
              </w:numPr>
              <w:spacing w:before="120" w:after="120" w:line="288" w:lineRule="auto"/>
              <w:ind w:left="0"/>
              <w:jc w:val="left"/>
            </w:pPr>
            <w:r>
              <w:rPr>
                <w:rFonts w:eastAsia="等线" w:ascii="Arial" w:cs="Arial" w:hAnsi="Arial"/>
                <w:sz w:val="22"/>
              </w:rPr>
              <w:t>负责计调安排安排承运商，并保障货物运输过程的服务质量；</w:t>
            </w:r>
          </w:p>
          <w:p>
            <w:pPr>
              <w:numPr>
                <w:numId w:val="19"/>
              </w:numPr>
              <w:spacing w:before="120" w:after="120" w:line="288" w:lineRule="auto"/>
              <w:ind w:left="0"/>
              <w:jc w:val="left"/>
            </w:pPr>
            <w:r>
              <w:rPr>
                <w:rFonts w:eastAsia="等线" w:ascii="Arial" w:cs="Arial" w:hAnsi="Arial"/>
                <w:sz w:val="22"/>
              </w:rPr>
              <w:t>负责回单的收集和管理，确保回单的及时返回和核对；</w:t>
            </w:r>
          </w:p>
        </w:tc>
      </w:tr>
    </w:tbl>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5. </w:t>
      </w:r>
      <w:r>
        <w:rPr>
          <w:rFonts w:eastAsia="等线" w:ascii="Arial" w:cs="Arial" w:hAnsi="Arial"/>
          <w:b w:val="true"/>
          <w:sz w:val="36"/>
        </w:rPr>
        <w:t>流程文件说明</w:t>
      </w:r>
      <w:bookmarkEnd w:id="5"/>
    </w:p>
    <w:p>
      <w:pPr>
        <w:pStyle w:val="2"/>
        <w:spacing w:before="320" w:after="120" w:line="288" w:lineRule="auto"/>
        <w:ind w:left="0"/>
        <w:jc w:val="left"/>
        <w:outlineLvl w:val="1"/>
      </w:pPr>
      <w:bookmarkStart w:name="heading_6" w:id="6"/>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6"/>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5.2 </w:t>
      </w:r>
      <w:r>
        <w:rPr>
          <w:rFonts w:eastAsia="等线" w:ascii="Arial" w:cs="Arial" w:hAnsi="Arial"/>
          <w:b w:val="true"/>
          <w:sz w:val="32"/>
        </w:rPr>
        <w:t>流程图</w:t>
      </w:r>
      <w:bookmarkEnd w:id="7"/>
    </w:p>
    <w:p>
      <w:pPr>
        <w:pStyle w:val="3"/>
        <w:spacing w:before="300" w:after="120" w:line="288" w:lineRule="auto"/>
        <w:ind w:left="0"/>
        <w:jc w:val="left"/>
        <w:outlineLvl w:val="2"/>
      </w:pPr>
      <w:bookmarkStart w:name="heading_8" w:id="8"/>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8"/>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b w:val="true"/>
          <w:color w:val="245bdb"/>
          <w:sz w:val="30"/>
        </w:rPr>
        <w:t xml:space="preserve">5.2.2 </w:t>
      </w:r>
      <w:r>
        <w:rPr>
          <w:rFonts w:eastAsia="等线" w:ascii="Arial" w:cs="Arial" w:hAnsi="Arial"/>
          <w:b w:val="true"/>
          <w:sz w:val="30"/>
        </w:rPr>
        <w:t>L3流程示意图</w:t>
      </w:r>
      <w:bookmarkEnd w:id="9"/>
    </w:p>
    <w:p>
      <w:pPr>
        <w:spacing w:before="120" w:after="120" w:line="288" w:lineRule="auto"/>
        <w:ind w:left="0"/>
        <w:jc w:val="center"/>
      </w:pPr>
      <w:r>
        <w:drawing>
          <wp:inline distT="0" distR="0" distB="0" distL="0">
            <wp:extent cx="5257800" cy="4181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1814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color w:val="245bdb"/>
          <w:sz w:val="30"/>
        </w:rPr>
        <w:t xml:space="preserve">5.2.3 </w:t>
      </w:r>
      <w:r>
        <w:rPr>
          <w:rFonts w:eastAsia="等线" w:ascii="Arial" w:cs="Arial" w:hAnsi="Arial"/>
          <w:b w:val="true"/>
          <w:sz w:val="30"/>
        </w:rPr>
        <w:t>L3流程泳道图</w:t>
      </w:r>
      <w:bookmarkEnd w:id="10"/>
    </w:p>
    <w:p>
      <w:pPr>
        <w:pStyle w:val="4"/>
        <w:spacing w:before="260" w:after="120" w:line="288" w:lineRule="auto"/>
        <w:ind w:left="0"/>
        <w:jc w:val="left"/>
        <w:outlineLvl w:val="3"/>
      </w:pPr>
      <w:bookmarkStart w:name="heading_11" w:id="11"/>
      <w:r>
        <w:rPr>
          <w:rFonts w:eastAsia="等线" w:ascii="Arial" w:cs="Arial" w:hAnsi="Arial"/>
          <w:b w:val="true"/>
          <w:color w:val="245bdb"/>
          <w:sz w:val="28"/>
        </w:rPr>
        <w:t xml:space="preserve">5.2.3.1 </w:t>
      </w:r>
      <w:r>
        <w:rPr>
          <w:rFonts w:eastAsia="等线" w:ascii="Arial" w:cs="Arial" w:hAnsi="Arial"/>
          <w:b w:val="true"/>
          <w:sz w:val="28"/>
        </w:rPr>
        <w:t>订单履行主流程L3泳道图</w:t>
      </w:r>
      <w:bookmarkEnd w:id="11"/>
    </w:p>
    <w:p>
      <w:pPr>
        <w:spacing w:before="120" w:after="120" w:line="288" w:lineRule="auto"/>
        <w:ind w:left="0"/>
        <w:jc w:val="center"/>
      </w:pPr>
      <w:r>
        <w:drawing>
          <wp:inline distT="0" distR="0" distB="0" distL="0">
            <wp:extent cx="5257800" cy="3400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400425"/>
                    </a:xfrm>
                    <a:prstGeom prst="rect">
                      <a:avLst/>
                    </a:prstGeom>
                  </pic:spPr>
                </pic:pic>
              </a:graphicData>
            </a:graphic>
          </wp:inline>
        </w:drawing>
      </w:r>
    </w:p>
    <w:p>
      <w:pPr>
        <w:pStyle w:val="4"/>
        <w:spacing w:before="260" w:after="120" w:line="288" w:lineRule="auto"/>
        <w:ind w:left="0"/>
        <w:jc w:val="left"/>
        <w:outlineLvl w:val="3"/>
      </w:pPr>
      <w:bookmarkStart w:name="heading_12" w:id="12"/>
      <w:r>
        <w:rPr>
          <w:rFonts w:eastAsia="等线" w:ascii="Arial" w:cs="Arial" w:hAnsi="Arial"/>
          <w:b w:val="true"/>
          <w:color w:val="245bdb"/>
          <w:sz w:val="28"/>
        </w:rPr>
        <w:t xml:space="preserve">5.2.3.2 </w:t>
      </w:r>
      <w:r>
        <w:rPr>
          <w:rFonts w:eastAsia="等线" w:ascii="Arial" w:cs="Arial" w:hAnsi="Arial"/>
          <w:b w:val="true"/>
          <w:sz w:val="28"/>
        </w:rPr>
        <w:t>订单履行使能流程L3泳道图</w:t>
      </w:r>
      <w:bookmarkEnd w:id="12"/>
    </w:p>
    <w:p>
      <w:pPr>
        <w:spacing w:before="120" w:after="120" w:line="288" w:lineRule="auto"/>
        <w:ind w:left="0"/>
        <w:jc w:val="center"/>
      </w:pPr>
      <w:r>
        <w:drawing>
          <wp:inline distT="0" distR="0" distB="0" distL="0">
            <wp:extent cx="5257800" cy="2295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2955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color w:val="245bdb"/>
          <w:sz w:val="32"/>
        </w:rPr>
        <w:t xml:space="preserve">5.3 </w:t>
      </w:r>
      <w:r>
        <w:rPr>
          <w:rFonts w:eastAsia="等线" w:ascii="Arial" w:cs="Arial" w:hAnsi="Arial"/>
          <w:b w:val="true"/>
          <w:sz w:val="32"/>
        </w:rPr>
        <w:t>流程活动说明</w:t>
      </w:r>
      <w:bookmarkEnd w:id="13"/>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5.3.1 </w:t>
      </w:r>
      <w:r>
        <w:rPr>
          <w:rFonts w:eastAsia="等线" w:ascii="Arial" w:cs="Arial" w:hAnsi="Arial"/>
          <w:b w:val="true"/>
          <w:sz w:val="30"/>
        </w:rPr>
        <w:t>M12.4.1 订单创建与生成流程活动说明</w:t>
      </w:r>
      <w:bookmarkEnd w:id="14"/>
    </w:p>
    <w:p>
      <w:pPr>
        <w:spacing w:before="120" w:after="120" w:line="288" w:lineRule="auto"/>
        <w:ind w:left="0" w:firstLine="420"/>
        <w:jc w:val="left"/>
      </w:pPr>
      <w:hyperlink r:id="rId9">
        <w:r>
          <w:rPr>
            <w:rFonts w:eastAsia="等线" w:ascii="Arial" w:cs="Arial" w:hAnsi="Arial"/>
            <w:color w:val="3370ff"/>
            <w:sz w:val="22"/>
          </w:rPr>
          <w:t>订单创建与生成流程</w:t>
        </w:r>
      </w:hyperlink>
    </w:p>
    <w:p>
      <w:pPr>
        <w:pStyle w:val="3"/>
        <w:spacing w:before="300" w:after="120" w:line="288" w:lineRule="auto"/>
        <w:ind w:left="0"/>
        <w:jc w:val="left"/>
        <w:outlineLvl w:val="2"/>
      </w:pPr>
      <w:bookmarkStart w:name="heading_15" w:id="15"/>
      <w:r>
        <w:rPr>
          <w:rFonts w:eastAsia="等线" w:ascii="Arial" w:cs="Arial" w:hAnsi="Arial"/>
          <w:b w:val="true"/>
          <w:color w:val="245bdb"/>
          <w:sz w:val="30"/>
        </w:rPr>
        <w:t xml:space="preserve">5.3.2 </w:t>
      </w:r>
      <w:r>
        <w:rPr>
          <w:rFonts w:eastAsia="等线" w:ascii="Arial" w:cs="Arial" w:hAnsi="Arial"/>
          <w:b w:val="true"/>
          <w:sz w:val="30"/>
        </w:rPr>
        <w:t>M12.4.2 订单承诺与齐套</w:t>
      </w:r>
      <w:bookmarkEnd w:id="15"/>
    </w:p>
    <w:p>
      <w:pPr>
        <w:spacing w:before="120" w:after="120" w:line="288" w:lineRule="auto"/>
        <w:ind w:left="0" w:firstLine="420"/>
        <w:jc w:val="left"/>
      </w:pPr>
      <w:hyperlink r:id="rId10">
        <w:r>
          <w:rPr>
            <w:rFonts w:eastAsia="等线" w:ascii="Arial" w:cs="Arial" w:hAnsi="Arial"/>
            <w:color w:val="3370ff"/>
            <w:sz w:val="22"/>
          </w:rPr>
          <w:t>【现状流程】订单承诺与齐套管理</w:t>
        </w:r>
      </w:hyperlink>
    </w:p>
    <w:p>
      <w:pPr>
        <w:pStyle w:val="3"/>
        <w:spacing w:before="300" w:after="120" w:line="288" w:lineRule="auto"/>
        <w:ind w:left="0"/>
        <w:jc w:val="left"/>
        <w:outlineLvl w:val="2"/>
      </w:pPr>
      <w:bookmarkStart w:name="heading_16" w:id="16"/>
      <w:r>
        <w:rPr>
          <w:rFonts w:eastAsia="等线" w:ascii="Arial" w:cs="Arial" w:hAnsi="Arial"/>
          <w:b w:val="true"/>
          <w:color w:val="245bdb"/>
          <w:sz w:val="30"/>
        </w:rPr>
        <w:t xml:space="preserve">5.3.3 </w:t>
      </w:r>
      <w:r>
        <w:rPr>
          <w:rFonts w:eastAsia="等线" w:ascii="Arial" w:cs="Arial" w:hAnsi="Arial"/>
          <w:b w:val="true"/>
          <w:sz w:val="30"/>
        </w:rPr>
        <w:t>M12.4.3 订单变更</w:t>
      </w:r>
      <w:bookmarkEnd w:id="16"/>
    </w:p>
    <w:p>
      <w:pPr>
        <w:spacing w:before="120" w:after="120" w:line="288" w:lineRule="auto"/>
        <w:ind w:left="0" w:firstLine="420"/>
        <w:jc w:val="left"/>
      </w:pPr>
      <w:hyperlink r:id="rId11">
        <w:r>
          <w:rPr>
            <w:rFonts w:eastAsia="等线" w:ascii="Arial" w:cs="Arial" w:hAnsi="Arial"/>
            <w:color w:val="3370ff"/>
            <w:sz w:val="22"/>
          </w:rPr>
          <w:t>【现状流程】订单变更管理</w:t>
        </w:r>
      </w:hyperlink>
    </w:p>
    <w:p>
      <w:pPr>
        <w:pStyle w:val="3"/>
        <w:spacing w:before="300" w:after="120" w:line="288" w:lineRule="auto"/>
        <w:ind w:left="0"/>
        <w:jc w:val="left"/>
        <w:outlineLvl w:val="2"/>
      </w:pPr>
      <w:bookmarkStart w:name="heading_17" w:id="17"/>
      <w:r>
        <w:rPr>
          <w:rFonts w:eastAsia="等线" w:ascii="Arial" w:cs="Arial" w:hAnsi="Arial"/>
          <w:b w:val="true"/>
          <w:color w:val="245bdb"/>
          <w:sz w:val="30"/>
        </w:rPr>
        <w:t xml:space="preserve">5.3.4 </w:t>
      </w:r>
      <w:r>
        <w:rPr>
          <w:rFonts w:eastAsia="等线" w:ascii="Arial" w:cs="Arial" w:hAnsi="Arial"/>
          <w:b w:val="true"/>
          <w:sz w:val="30"/>
        </w:rPr>
        <w:t>M12.4.4 订单履行风险管理</w:t>
      </w:r>
      <w:bookmarkEnd w:id="17"/>
    </w:p>
    <w:p>
      <w:pPr>
        <w:spacing w:before="120" w:after="120" w:line="288" w:lineRule="auto"/>
        <w:ind w:left="0" w:firstLine="420"/>
        <w:jc w:val="left"/>
      </w:pPr>
      <w:hyperlink r:id="rId12">
        <w:r>
          <w:rPr>
            <w:rFonts w:eastAsia="等线" w:ascii="Arial" w:cs="Arial" w:hAnsi="Arial"/>
            <w:color w:val="3370ff"/>
            <w:sz w:val="22"/>
          </w:rPr>
          <w:t>【现状流程】订单履行风险管理</w:t>
        </w:r>
      </w:hyperlink>
    </w:p>
    <w:p>
      <w:pPr>
        <w:pStyle w:val="3"/>
        <w:spacing w:before="300" w:after="120" w:line="288" w:lineRule="auto"/>
        <w:ind w:left="0"/>
        <w:jc w:val="left"/>
        <w:outlineLvl w:val="2"/>
      </w:pPr>
      <w:bookmarkStart w:name="heading_18" w:id="18"/>
      <w:r>
        <w:rPr>
          <w:rFonts w:eastAsia="等线" w:ascii="Arial" w:cs="Arial" w:hAnsi="Arial"/>
          <w:b w:val="true"/>
          <w:color w:val="245bdb"/>
          <w:sz w:val="30"/>
        </w:rPr>
        <w:t xml:space="preserve">5.3.5 </w:t>
      </w:r>
      <w:r>
        <w:rPr>
          <w:rFonts w:eastAsia="等线" w:ascii="Arial" w:cs="Arial" w:hAnsi="Arial"/>
          <w:b w:val="true"/>
          <w:sz w:val="30"/>
        </w:rPr>
        <w:t>M12.4.5 订单发货与签收</w:t>
      </w:r>
      <w:bookmarkEnd w:id="18"/>
    </w:p>
    <w:p>
      <w:pPr>
        <w:spacing w:before="120" w:after="120" w:line="288" w:lineRule="auto"/>
        <w:ind w:left="0" w:firstLine="420"/>
        <w:jc w:val="left"/>
      </w:pPr>
      <w:hyperlink r:id="rId13">
        <w:r>
          <w:rPr>
            <w:rFonts w:eastAsia="等线" w:ascii="Arial" w:cs="Arial" w:hAnsi="Arial"/>
            <w:color w:val="3370ff"/>
            <w:sz w:val="22"/>
          </w:rPr>
          <w:t>订单发货与签收流程</w:t>
        </w:r>
      </w:hyperlink>
    </w:p>
    <w:p>
      <w:pPr>
        <w:pStyle w:val="2"/>
        <w:spacing w:before="320" w:after="120" w:line="288" w:lineRule="auto"/>
        <w:ind w:left="0"/>
        <w:jc w:val="left"/>
        <w:outlineLvl w:val="1"/>
      </w:pPr>
      <w:bookmarkStart w:name="heading_19" w:id="19"/>
      <w:r>
        <w:rPr>
          <w:rFonts w:eastAsia="等线" w:ascii="Arial" w:cs="Arial" w:hAnsi="Arial"/>
          <w:b w:val="true"/>
          <w:color w:val="245bdb"/>
          <w:sz w:val="32"/>
        </w:rPr>
        <w:t xml:space="preserve">5.4 </w:t>
      </w:r>
      <w:r>
        <w:rPr>
          <w:rFonts w:eastAsia="等线" w:ascii="Arial" w:cs="Arial" w:hAnsi="Arial"/>
          <w:b w:val="true"/>
          <w:sz w:val="32"/>
        </w:rPr>
        <w:t>主要岗位说明</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5.3.6.1 销售代表活动说明：</w:t>
      </w:r>
      <w:bookmarkEnd w:id="20"/>
    </w:p>
    <w:p>
      <w:pPr>
        <w:spacing w:before="120" w:after="120" w:line="288" w:lineRule="auto"/>
        <w:ind w:left="0" w:firstLine="0"/>
        <w:jc w:val="left"/>
      </w:pPr>
      <w:r>
        <w:rPr>
          <w:rFonts w:eastAsia="等线" w:ascii="Arial" w:cs="Arial" w:hAnsi="Arial"/>
          <w:sz w:val="22"/>
        </w:rPr>
        <w:t>销售代表（含：行业销售、行业经理、城市经理等有列名客户的销售岗位）</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1" w:id="21"/>
      <w:r>
        <w:rPr>
          <w:rFonts w:eastAsia="等线" w:ascii="Arial" w:cs="Arial" w:hAnsi="Arial"/>
          <w:b w:val="true"/>
          <w:sz w:val="28"/>
        </w:rPr>
        <w:t>5.3.6.2 销售经理活动说明：</w:t>
      </w:r>
      <w:bookmarkEnd w:id="21"/>
    </w:p>
    <w:p>
      <w:pPr>
        <w:spacing w:before="120" w:after="120" w:line="288" w:lineRule="auto"/>
        <w:ind w:left="0" w:firstLine="0"/>
        <w:jc w:val="left"/>
      </w:pPr>
      <w:r>
        <w:rPr>
          <w:rFonts w:eastAsia="等线" w:ascii="Arial" w:cs="Arial" w:hAnsi="Arial"/>
          <w:sz w:val="22"/>
        </w:rPr>
        <w:t>销售经理（含：区域经理、系统部本部经理等负责管理销售的销售管理岗位）</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2" w:id="22"/>
      <w:r>
        <w:rPr>
          <w:rFonts w:eastAsia="等线" w:ascii="Arial" w:cs="Arial" w:hAnsi="Arial"/>
          <w:b w:val="true"/>
          <w:sz w:val="28"/>
        </w:rPr>
        <w:t>5.3.6.3商务活动说明：</w:t>
      </w:r>
      <w:bookmarkEnd w:id="22"/>
    </w:p>
    <w:p>
      <w:pPr>
        <w:spacing w:before="120" w:after="120" w:line="288" w:lineRule="auto"/>
        <w:ind w:left="0" w:firstLine="0"/>
        <w:jc w:val="left"/>
      </w:pPr>
      <w:r>
        <w:rPr>
          <w:rFonts w:eastAsia="等线" w:ascii="Arial" w:cs="Arial" w:hAnsi="Arial"/>
          <w:sz w:val="22"/>
        </w:rPr>
        <w:t>商务（含：区域商务助理等负责管理推进订单交付的支撑岗位）</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3" w:id="23"/>
      <w:r>
        <w:rPr>
          <w:rFonts w:eastAsia="等线" w:ascii="Arial" w:cs="Arial" w:hAnsi="Arial"/>
          <w:b w:val="true"/>
          <w:sz w:val="28"/>
        </w:rPr>
        <w:t>5.3.6.4 销管活动说明：</w:t>
      </w:r>
      <w:bookmarkEnd w:id="23"/>
    </w:p>
    <w:p>
      <w:pPr>
        <w:spacing w:before="120" w:after="120" w:line="288" w:lineRule="auto"/>
        <w:ind w:left="0" w:firstLine="0"/>
        <w:jc w:val="left"/>
      </w:pPr>
      <w:r>
        <w:rPr>
          <w:rFonts w:eastAsia="等线" w:ascii="Arial" w:cs="Arial" w:hAnsi="Arial"/>
          <w:sz w:val="22"/>
        </w:rPr>
        <w:t>销管（负责审核订单价格、销售承诺等信息的销售管理部门团队）</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4" w:id="24"/>
      <w:r>
        <w:rPr>
          <w:rFonts w:eastAsia="等线" w:ascii="Arial" w:cs="Arial" w:hAnsi="Arial"/>
          <w:b w:val="true"/>
          <w:sz w:val="28"/>
        </w:rPr>
        <w:t>5.3.6.4 区域统筹活动说明：</w:t>
      </w:r>
      <w:bookmarkEnd w:id="24"/>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5" w:id="25"/>
      <w:r>
        <w:rPr>
          <w:rFonts w:eastAsia="等线" w:ascii="Arial" w:cs="Arial" w:hAnsi="Arial"/>
          <w:b w:val="true"/>
          <w:sz w:val="28"/>
        </w:rPr>
        <w:t>5.3.6.4 产品统筹活动说明：</w:t>
      </w:r>
      <w:bookmarkEnd w:id="25"/>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6" w:id="26"/>
      <w:r>
        <w:rPr>
          <w:rFonts w:eastAsia="等线" w:ascii="Arial" w:cs="Arial" w:hAnsi="Arial"/>
          <w:b w:val="true"/>
          <w:sz w:val="28"/>
        </w:rPr>
        <w:t>5.3.6.5 物流活动说明：</w:t>
      </w:r>
      <w:bookmarkEnd w:id="26"/>
    </w:p>
    <w:p>
      <w:pPr>
        <w:spacing w:before="120" w:after="120" w:line="288" w:lineRule="auto"/>
        <w:ind w:left="0" w:firstLine="0"/>
        <w:jc w:val="left"/>
      </w:pPr>
      <w:r>
        <w:rPr>
          <w:rFonts w:eastAsia="等线" w:ascii="Arial" w:cs="Arial" w:hAnsi="Arial"/>
          <w:sz w:val="22"/>
        </w:rPr>
        <w:t>物流（含：央库营运专员、配送服务专员、回单管理专员等负责物流发货与配送各环节的岗位人员）</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7" w:id="27"/>
      <w:r>
        <w:rPr>
          <w:rFonts w:eastAsia="等线" w:ascii="Arial" w:cs="Arial" w:hAnsi="Arial"/>
          <w:b w:val="true"/>
          <w:color w:val="245bdb"/>
          <w:sz w:val="32"/>
        </w:rPr>
        <w:t xml:space="preserve">5.5 </w:t>
      </w:r>
      <w:r>
        <w:rPr>
          <w:rFonts w:eastAsia="等线" w:ascii="Arial" w:cs="Arial" w:hAnsi="Arial"/>
          <w:b w:val="true"/>
          <w:sz w:val="32"/>
        </w:rPr>
        <w:t>KCP/KDP说明及指导书</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440"/>
        <w:gridCol w:w="2385"/>
        <w:gridCol w:w="1065"/>
        <w:gridCol w:w="1545"/>
        <w:gridCol w:w="735"/>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M12.4.1 订单创建与生成</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订单审核</w:t>
            </w:r>
          </w:p>
          <w:p>
            <w:pPr>
              <w:spacing w:before="120" w:after="120" w:line="288" w:lineRule="auto"/>
              <w:ind w:left="0"/>
              <w:jc w:val="left"/>
            </w:pPr>
            <w:r>
              <w:rPr>
                <w:rFonts w:eastAsia="等线" w:ascii="Arial" w:cs="Arial" w:hAnsi="Arial"/>
                <w:sz w:val="22"/>
              </w:rPr>
              <w:t>(KDP)</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审核直接关系到订单的合法性、合理性以及与销售预期的一致性，对订单能否顺利推进起着关键作用</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订单审核团队/商务</w:t>
            </w:r>
          </w:p>
        </w:tc>
        <w:tc>
          <w:tcPr>
            <w:tcW w:w="154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M12.4.2 订单承诺与齐套</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校验备货条件</w:t>
            </w:r>
          </w:p>
          <w:p>
            <w:pPr>
              <w:spacing w:before="120" w:after="120" w:line="288" w:lineRule="auto"/>
              <w:ind w:left="0"/>
              <w:jc w:val="left"/>
            </w:pPr>
            <w:r>
              <w:rPr>
                <w:rFonts w:eastAsia="等线" w:ascii="Arial" w:cs="Arial" w:hAnsi="Arial"/>
                <w:sz w:val="22"/>
              </w:rPr>
              <w:t>（KCP）</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这一活动直接影响订单能否顺利进入后续流程，若备货条件不满足，可能导致订单延迟或无法执行</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供应统筹团队-区域统筹</w:t>
            </w:r>
          </w:p>
        </w:tc>
        <w:tc>
          <w:tcPr>
            <w:tcW w:w="1545" w:type="dxa"/>
            <w:tcMar>
              <w:top w:type="dxa" w:w="60"/>
              <w:left w:type="dxa" w:w="120"/>
              <w:bottom w:type="dxa" w:w="30"/>
              <w:right w:type="dxa" w:w="120"/>
            </w:tcMar>
          </w:tcPr>
          <w:p>
            <w:pPr>
              <w:spacing w:before="120" w:after="120" w:line="288" w:lineRule="auto"/>
              <w:ind w:left="0"/>
              <w:jc w:val="left"/>
            </w:pPr>
            <w:hyperlink r:id="rId14">
              <w:r>
                <w:rPr>
                  <w:rFonts w:eastAsia="等线" w:ascii="Arial" w:cs="Arial" w:hAnsi="Arial"/>
                  <w:color w:val="3370ff"/>
                  <w:sz w:val="22"/>
                </w:rPr>
                <w:t>备货条件校验check-list  （国内）</w:t>
              </w:r>
            </w:hyperlink>
          </w:p>
        </w:tc>
        <w:tc>
          <w:tcPr>
            <w:tcW w:w="735"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M12.4.5 订单发货与签收</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发货条件校准</w:t>
            </w:r>
          </w:p>
          <w:p>
            <w:pPr>
              <w:spacing w:before="120" w:after="120" w:line="288" w:lineRule="auto"/>
              <w:ind w:left="0"/>
              <w:jc w:val="left"/>
            </w:pPr>
            <w:r>
              <w:rPr>
                <w:rFonts w:eastAsia="等线" w:ascii="Arial" w:cs="Arial" w:hAnsi="Arial"/>
                <w:sz w:val="22"/>
              </w:rPr>
              <w:t>（KCP）</w:t>
            </w:r>
          </w:p>
        </w:tc>
        <w:tc>
          <w:tcPr>
            <w:tcW w:w="23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直接影响订单后续走向，决定订单是继续推进还是取消</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w:t>
            </w:r>
          </w:p>
        </w:tc>
        <w:tc>
          <w:tcPr>
            <w:tcW w:w="1545" w:type="dxa"/>
            <w:tcMar>
              <w:top w:type="dxa" w:w="60"/>
              <w:left w:type="dxa" w:w="120"/>
              <w:bottom w:type="dxa" w:w="30"/>
              <w:right w:type="dxa" w:w="120"/>
            </w:tcMar>
          </w:tcPr>
          <w:p>
            <w:pPr>
              <w:spacing w:before="120" w:after="120" w:line="288" w:lineRule="auto"/>
              <w:ind w:left="0"/>
              <w:jc w:val="left"/>
            </w:pPr>
            <w:hyperlink r:id="rId15">
              <w:r>
                <w:rPr>
                  <w:rFonts w:eastAsia="等线" w:ascii="Arial" w:cs="Arial" w:hAnsi="Arial"/>
                  <w:color w:val="3370ff"/>
                  <w:sz w:val="22"/>
                </w:rPr>
                <w:t>订单管理流程及方法</w:t>
              </w:r>
            </w:hyperlink>
          </w:p>
          <w:p>
            <w:pPr>
              <w:spacing w:before="120" w:after="120" w:line="288" w:lineRule="auto"/>
              <w:ind w:left="0"/>
              <w:jc w:val="center"/>
            </w:pPr>
            <w:r>
              <w:drawing>
                <wp:inline distT="0" distR="0" distB="0" distL="0">
                  <wp:extent cx="828675" cy="561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6"/>
                          <a:stretch>
                            <a:fillRect/>
                          </a:stretch>
                        </pic:blipFill>
                        <pic:spPr>
                          <a:xfrm>
                            <a:off x="0" y="0"/>
                            <a:ext cx="828675" cy="561975"/>
                          </a:xfrm>
                          <a:prstGeom prst="rect">
                            <a:avLst/>
                          </a:prstGeom>
                        </pic:spPr>
                      </pic:pic>
                    </a:graphicData>
                  </a:graphic>
                </wp:inline>
              </w:drawing>
            </w:r>
          </w:p>
        </w:tc>
        <w:tc>
          <w:tcPr>
            <w:tcW w:w="735"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M12.4.3 订单变更</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供应风险审核</w:t>
            </w:r>
          </w:p>
          <w:p>
            <w:pPr>
              <w:spacing w:before="120" w:after="120" w:line="288" w:lineRule="auto"/>
              <w:ind w:left="0"/>
              <w:jc w:val="left"/>
            </w:pPr>
            <w:r>
              <w:rPr>
                <w:rFonts w:eastAsia="等线" w:ascii="Arial" w:cs="Arial" w:hAnsi="Arial"/>
                <w:sz w:val="22"/>
              </w:rPr>
              <w:t>(KCP)</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对变更可能造成的呆滞风险和可供应性进行审核，确保库存和供应链的有效性、降低风险和提升客户服务水平</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区域统筹</w:t>
            </w:r>
          </w:p>
        </w:tc>
        <w:tc>
          <w:tcPr>
            <w:tcW w:w="154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r>
      <w:tr>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M12.4.4 订单履行风险管理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识别风险订单/识别风险产品</w:t>
            </w:r>
          </w:p>
          <w:p>
            <w:pPr>
              <w:spacing w:before="120" w:after="120" w:line="288" w:lineRule="auto"/>
              <w:ind w:left="0"/>
              <w:jc w:val="left"/>
            </w:pPr>
            <w:r>
              <w:rPr>
                <w:rFonts w:eastAsia="等线" w:ascii="Arial" w:cs="Arial" w:hAnsi="Arial"/>
                <w:sz w:val="22"/>
              </w:rPr>
              <w:t>(KCP)</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这是整个流程的起点，准确识别风险是后续有效管理的基础，若此环节出现偏差，可能导致风险被忽视或误判，影响后续所有流程的有效性</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区域统筹/产品统筹</w:t>
            </w:r>
          </w:p>
        </w:tc>
        <w:tc>
          <w:tcPr>
            <w:tcW w:w="154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风险管理升级</w:t>
            </w:r>
          </w:p>
          <w:p>
            <w:pPr>
              <w:spacing w:before="120" w:after="120" w:line="288" w:lineRule="auto"/>
              <w:ind w:left="0"/>
              <w:jc w:val="left"/>
            </w:pPr>
            <w:r>
              <w:rPr>
                <w:rFonts w:eastAsia="等线" w:ascii="Arial" w:cs="Arial" w:hAnsi="Arial"/>
                <w:sz w:val="22"/>
              </w:rPr>
              <w:t>(KDP)</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在无法消除交付风险时进入升级管理，收集相关信息并升级至统筹主管，这一决策将风险处理提升到更高层面，引入更多资源和决策权力，对解决复杂风险问题至关重要。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产品统筹</w:t>
            </w:r>
          </w:p>
        </w:tc>
        <w:tc>
          <w:tcPr>
            <w:tcW w:w="154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28" w:id="28"/>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8"/>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pStyle w:val="1"/>
        <w:spacing w:before="380" w:after="140" w:line="288" w:lineRule="auto"/>
        <w:ind w:left="0"/>
        <w:jc w:val="left"/>
        <w:outlineLvl w:val="0"/>
      </w:pPr>
      <w:bookmarkStart w:name="heading_29" w:id="29"/>
      <w:r>
        <w:rPr>
          <w:rFonts w:eastAsia="等线" w:ascii="Arial" w:cs="Arial" w:hAnsi="Arial"/>
          <w:b w:val="true"/>
          <w:color w:val="245bdb"/>
          <w:sz w:val="36"/>
        </w:rPr>
        <w:t xml:space="preserve">7. </w:t>
      </w:r>
      <w:r>
        <w:rPr>
          <w:rFonts w:eastAsia="等线" w:ascii="Arial" w:cs="Arial" w:hAnsi="Arial"/>
          <w:b w:val="true"/>
          <w:sz w:val="36"/>
        </w:rPr>
        <w:t>流程运转机制</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4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M12.4.4 订单履行风险管理</w:t>
            </w:r>
          </w:p>
        </w:tc>
        <w:tc>
          <w:tcPr>
            <w:tcW w:w="6495" w:type="dxa"/>
            <w:tcMar>
              <w:top w:type="dxa" w:w="60"/>
              <w:left w:type="dxa" w:w="120"/>
              <w:bottom w:type="dxa" w:w="30"/>
              <w:right w:type="dxa" w:w="120"/>
            </w:tcMar>
          </w:tcPr>
          <w:p>
            <w:pPr>
              <w:spacing w:before="120" w:after="120" w:line="288" w:lineRule="auto"/>
              <w:ind w:left="0"/>
              <w:jc w:val="left"/>
            </w:pPr>
            <w:hyperlink r:id="rId17">
              <w:r>
                <w:rPr>
                  <w:rFonts w:eastAsia="等线" w:ascii="Arial" w:cs="Arial" w:hAnsi="Arial"/>
                  <w:color w:val="3370ff"/>
                  <w:sz w:val="22"/>
                </w:rPr>
                <w:t>【现状流程】订单履行风险管理</w:t>
              </w:r>
            </w:hyperlink>
            <w:r>
              <w:rPr>
                <w:rFonts w:eastAsia="等线" w:ascii="Arial" w:cs="Arial" w:hAnsi="Arial"/>
                <w:sz w:val="22"/>
              </w:rPr>
              <w:t>中的</w:t>
            </w:r>
          </w:p>
          <w:p>
            <w:pPr>
              <w:spacing w:before="120" w:after="120" w:line="288" w:lineRule="auto"/>
              <w:ind w:left="0"/>
              <w:jc w:val="left"/>
            </w:pPr>
            <w:r>
              <w:rPr>
                <w:rFonts w:eastAsia="等线" w:ascii="Arial" w:cs="Arial" w:hAnsi="Arial"/>
                <w:sz w:val="22"/>
              </w:rPr>
              <w:t>7.2风险信息收集checklist</w:t>
            </w:r>
          </w:p>
          <w:p>
            <w:pPr>
              <w:spacing w:before="120" w:after="120" w:line="288" w:lineRule="auto"/>
              <w:ind w:left="0"/>
              <w:jc w:val="left"/>
            </w:pPr>
            <w:r>
              <w:rPr>
                <w:rFonts w:eastAsia="等线" w:ascii="Arial" w:cs="Arial" w:hAnsi="Arial"/>
                <w:sz w:val="22"/>
              </w:rPr>
              <w:t>7.3风险等级定义</w:t>
            </w:r>
          </w:p>
          <w:p>
            <w:pPr>
              <w:spacing w:before="120" w:after="120" w:line="288" w:lineRule="auto"/>
              <w:ind w:left="0"/>
              <w:jc w:val="left"/>
            </w:pPr>
            <w:r>
              <w:rPr>
                <w:rFonts w:eastAsia="等线" w:ascii="Arial" w:cs="Arial" w:hAnsi="Arial"/>
                <w:sz w:val="22"/>
              </w:rPr>
              <w:t>7.4风险订单的升级及通报规范</w:t>
            </w:r>
          </w:p>
          <w:p>
            <w:pPr>
              <w:spacing w:before="120" w:after="120" w:line="288" w:lineRule="auto"/>
              <w:ind w:left="0"/>
              <w:jc w:val="left"/>
            </w:pPr>
            <w:r>
              <w:rPr>
                <w:rFonts w:eastAsia="等线" w:ascii="Arial" w:cs="Arial" w:hAnsi="Arial"/>
                <w:sz w:val="22"/>
              </w:rPr>
              <w:t>7.5一级风险跟进规范要求</w:t>
            </w:r>
          </w:p>
          <w:p>
            <w:pPr>
              <w:spacing w:before="120" w:after="120" w:line="288" w:lineRule="auto"/>
              <w:ind w:left="0"/>
              <w:jc w:val="left"/>
            </w:pPr>
            <w:r>
              <w:rPr>
                <w:rFonts w:eastAsia="等线" w:ascii="Arial" w:cs="Arial" w:hAnsi="Arial"/>
                <w:sz w:val="22"/>
              </w:rPr>
              <w:t>7.6风险建群规范</w:t>
            </w:r>
          </w:p>
          <w:p>
            <w:pPr>
              <w:spacing w:before="120" w:after="120" w:line="288" w:lineRule="auto"/>
              <w:ind w:left="0"/>
              <w:jc w:val="left"/>
            </w:pPr>
            <w:r>
              <w:rPr>
                <w:rFonts w:eastAsia="等线" w:ascii="Arial" w:cs="Arial" w:hAnsi="Arial"/>
                <w:sz w:val="22"/>
              </w:rPr>
              <w:t>附件1:项目型邮件通报模板</w:t>
            </w:r>
          </w:p>
          <w:p>
            <w:pPr>
              <w:spacing w:before="120" w:after="120" w:line="288" w:lineRule="auto"/>
              <w:ind w:left="0"/>
              <w:jc w:val="left"/>
            </w:pPr>
            <w:r>
              <w:rPr>
                <w:rFonts w:eastAsia="等线" w:ascii="Arial" w:cs="Arial" w:hAnsi="Arial"/>
                <w:sz w:val="22"/>
              </w:rPr>
              <w:t>附件2:流水产品邮件通报模板</w:t>
            </w:r>
          </w:p>
        </w:tc>
      </w:tr>
    </w:tbl>
    <w:p>
      <w:pPr>
        <w:pStyle w:val="1"/>
        <w:spacing w:before="380" w:after="140" w:line="288" w:lineRule="auto"/>
        <w:ind w:left="0"/>
        <w:jc w:val="left"/>
        <w:outlineLvl w:val="0"/>
      </w:pPr>
      <w:bookmarkStart w:name="heading_30" w:id="30"/>
      <w:r>
        <w:rPr>
          <w:rFonts w:eastAsia="等线" w:ascii="Arial" w:cs="Arial" w:hAnsi="Arial"/>
          <w:b w:val="true"/>
          <w:color w:val="245bdb"/>
          <w:sz w:val="36"/>
        </w:rPr>
        <w:t xml:space="preserve">8. </w:t>
      </w:r>
      <w:r>
        <w:rPr>
          <w:rFonts w:eastAsia="等线" w:ascii="Arial" w:cs="Arial" w:hAnsi="Arial"/>
          <w:b w:val="true"/>
          <w:sz w:val="36"/>
        </w:rPr>
        <w:t>IT系统支持表</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1845"/>
        <w:gridCol w:w="1350"/>
        <w:gridCol w:w="1110"/>
        <w:gridCol w:w="960"/>
        <w:gridCol w:w="930"/>
        <w:gridCol w:w="780"/>
      </w:tblGrid>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M12.4.1 订单创建与生成</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订单创建、审核与付款</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ECP、CES</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可用</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不影响</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M12.4.2 订单承诺与齐套</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订单约定交期维护、变更</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ERP、PTM</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可用</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不影响</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M12.4.3 订单变更</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订单退换货流程提交与审批</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ECP</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可用</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不影响</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M12.4.4 订单履行风险管理</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风险识别</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可用</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不影响</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M12.4.5 订单发货与签收</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开发货单、发货、物流调度、回单上传</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CES、ERP、TMS、WMS</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可用</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不影响</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7258">
    <w:lvl>
      <w:start w:val="1"/>
      <w:numFmt w:val="decimal"/>
      <w:suff w:val="tab"/>
      <w:lvlText w:val="%1."/>
      <w:rPr>
        <w:color w:val="3370ff"/>
      </w:rPr>
    </w:lvl>
  </w:abstractNum>
  <w:abstractNum w:abstractNumId="67259">
    <w:lvl>
      <w:start w:val="2"/>
      <w:numFmt w:val="decimal"/>
      <w:suff w:val="tab"/>
      <w:lvlText w:val="%1."/>
      <w:rPr>
        <w:color w:val="3370ff"/>
      </w:rPr>
    </w:lvl>
  </w:abstractNum>
  <w:abstractNum w:abstractNumId="67260">
    <w:lvl>
      <w:start w:val="3"/>
      <w:numFmt w:val="decimal"/>
      <w:suff w:val="tab"/>
      <w:lvlText w:val="%1."/>
      <w:rPr>
        <w:color w:val="3370ff"/>
      </w:rPr>
    </w:lvl>
  </w:abstractNum>
  <w:abstractNum w:abstractNumId="67261">
    <w:lvl>
      <w:start w:val="4"/>
      <w:numFmt w:val="decimal"/>
      <w:suff w:val="tab"/>
      <w:lvlText w:val="%1."/>
      <w:rPr>
        <w:color w:val="3370ff"/>
      </w:rPr>
    </w:lvl>
  </w:abstractNum>
  <w:abstractNum w:abstractNumId="67262">
    <w:lvl>
      <w:start w:val="1"/>
      <w:numFmt w:val="decimal"/>
      <w:suff w:val="tab"/>
      <w:lvlText w:val="%1."/>
      <w:rPr>
        <w:color w:val="3370ff"/>
      </w:rPr>
    </w:lvl>
  </w:abstractNum>
  <w:abstractNum w:abstractNumId="67263">
    <w:lvl>
      <w:start w:val="2"/>
      <w:numFmt w:val="decimal"/>
      <w:suff w:val="tab"/>
      <w:lvlText w:val="%1."/>
      <w:rPr>
        <w:color w:val="3370ff"/>
      </w:rPr>
    </w:lvl>
  </w:abstractNum>
  <w:abstractNum w:abstractNumId="67264">
    <w:lvl>
      <w:start w:val="3"/>
      <w:numFmt w:val="decimal"/>
      <w:suff w:val="tab"/>
      <w:lvlText w:val="%1."/>
      <w:rPr>
        <w:color w:val="3370ff"/>
      </w:rPr>
    </w:lvl>
  </w:abstractNum>
  <w:abstractNum w:abstractNumId="67265">
    <w:lvl>
      <w:start w:val="1"/>
      <w:numFmt w:val="decimal"/>
      <w:suff w:val="tab"/>
      <w:lvlText w:val="%1."/>
      <w:rPr>
        <w:color w:val="3370ff"/>
      </w:rPr>
    </w:lvl>
  </w:abstractNum>
  <w:abstractNum w:abstractNumId="67266">
    <w:lvl>
      <w:start w:val="2"/>
      <w:numFmt w:val="decimal"/>
      <w:suff w:val="tab"/>
      <w:lvlText w:val="%1."/>
      <w:rPr>
        <w:color w:val="3370ff"/>
      </w:rPr>
    </w:lvl>
  </w:abstractNum>
  <w:abstractNum w:abstractNumId="67267">
    <w:lvl>
      <w:start w:val="3"/>
      <w:numFmt w:val="decimal"/>
      <w:suff w:val="tab"/>
      <w:lvlText w:val="%1."/>
      <w:rPr>
        <w:color w:val="3370ff"/>
      </w:rPr>
    </w:lvl>
  </w:abstractNum>
  <w:abstractNum w:abstractNumId="67268">
    <w:lvl>
      <w:start w:val="1"/>
      <w:numFmt w:val="decimal"/>
      <w:suff w:val="tab"/>
      <w:lvlText w:val="%1."/>
      <w:rPr>
        <w:color w:val="3370ff"/>
      </w:rPr>
    </w:lvl>
  </w:abstractNum>
  <w:abstractNum w:abstractNumId="67269">
    <w:lvl>
      <w:start w:val="2"/>
      <w:numFmt w:val="decimal"/>
      <w:suff w:val="tab"/>
      <w:lvlText w:val="%1."/>
      <w:rPr>
        <w:color w:val="3370ff"/>
      </w:rPr>
    </w:lvl>
  </w:abstractNum>
  <w:abstractNum w:abstractNumId="67270">
    <w:lvl>
      <w:start w:val="3"/>
      <w:numFmt w:val="decimal"/>
      <w:suff w:val="tab"/>
      <w:lvlText w:val="%1."/>
      <w:rPr>
        <w:color w:val="3370ff"/>
      </w:rPr>
    </w:lvl>
  </w:abstractNum>
  <w:abstractNum w:abstractNumId="67271">
    <w:lvl>
      <w:start w:val="1"/>
      <w:numFmt w:val="decimal"/>
      <w:suff w:val="tab"/>
      <w:lvlText w:val="%1."/>
      <w:rPr>
        <w:color w:val="3370ff"/>
      </w:rPr>
    </w:lvl>
  </w:abstractNum>
  <w:abstractNum w:abstractNumId="67272">
    <w:lvl>
      <w:start w:val="2"/>
      <w:numFmt w:val="decimal"/>
      <w:suff w:val="tab"/>
      <w:lvlText w:val="%1."/>
      <w:rPr>
        <w:color w:val="3370ff"/>
      </w:rPr>
    </w:lvl>
  </w:abstractNum>
  <w:abstractNum w:abstractNumId="67273">
    <w:lvl>
      <w:start w:val="3"/>
      <w:numFmt w:val="decimal"/>
      <w:suff w:val="tab"/>
      <w:lvlText w:val="%1."/>
      <w:rPr>
        <w:color w:val="3370ff"/>
      </w:rPr>
    </w:lvl>
  </w:abstractNum>
  <w:abstractNum w:abstractNumId="67274">
    <w:lvl>
      <w:start w:val="1"/>
      <w:numFmt w:val="decimal"/>
      <w:suff w:val="tab"/>
      <w:lvlText w:val="%1."/>
      <w:rPr>
        <w:color w:val="3370ff"/>
      </w:rPr>
    </w:lvl>
  </w:abstractNum>
  <w:abstractNum w:abstractNumId="67275">
    <w:lvl>
      <w:start w:val="2"/>
      <w:numFmt w:val="decimal"/>
      <w:suff w:val="tab"/>
      <w:lvlText w:val="%1."/>
      <w:rPr>
        <w:color w:val="3370ff"/>
      </w:rPr>
    </w:lvl>
  </w:abstractNum>
  <w:abstractNum w:abstractNumId="67276">
    <w:lvl>
      <w:start w:val="3"/>
      <w:numFmt w:val="decimal"/>
      <w:suff w:val="tab"/>
      <w:lvlText w:val="%1."/>
      <w:rPr>
        <w:color w:val="3370ff"/>
      </w:rPr>
    </w:lvl>
  </w:abstractNum>
  <w:num w:numId="1">
    <w:abstractNumId w:val="67258"/>
  </w:num>
  <w:num w:numId="2">
    <w:abstractNumId w:val="67259"/>
  </w:num>
  <w:num w:numId="3">
    <w:abstractNumId w:val="67260"/>
  </w:num>
  <w:num w:numId="4">
    <w:abstractNumId w:val="67261"/>
  </w:num>
  <w:num w:numId="5">
    <w:abstractNumId w:val="67262"/>
  </w:num>
  <w:num w:numId="6">
    <w:abstractNumId w:val="67263"/>
  </w:num>
  <w:num w:numId="7">
    <w:abstractNumId w:val="67264"/>
  </w:num>
  <w:num w:numId="8">
    <w:abstractNumId w:val="67265"/>
  </w:num>
  <w:num w:numId="9">
    <w:abstractNumId w:val="67266"/>
  </w:num>
  <w:num w:numId="10">
    <w:abstractNumId w:val="67267"/>
  </w:num>
  <w:num w:numId="11">
    <w:abstractNumId w:val="67268"/>
  </w:num>
  <w:num w:numId="12">
    <w:abstractNumId w:val="67269"/>
  </w:num>
  <w:num w:numId="13">
    <w:abstractNumId w:val="67270"/>
  </w:num>
  <w:num w:numId="14">
    <w:abstractNumId w:val="67271"/>
  </w:num>
  <w:num w:numId="15">
    <w:abstractNumId w:val="67272"/>
  </w:num>
  <w:num w:numId="16">
    <w:abstractNumId w:val="67273"/>
  </w:num>
  <w:num w:numId="17">
    <w:abstractNumId w:val="67274"/>
  </w:num>
  <w:num w:numId="18">
    <w:abstractNumId w:val="67275"/>
  </w:num>
  <w:num w:numId="19">
    <w:abstractNumId w:val="672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docx/WsxNd1TjxoEXoOxSPkaccZEPnTd" TargetMode="External" Type="http://schemas.openxmlformats.org/officeDocument/2006/relationships/hyperlink"/><Relationship Id="rId11" Target="https://ruijie.feishu.cn/docx/QaUkdFItgov00FxPnDGcukXknob" TargetMode="External" Type="http://schemas.openxmlformats.org/officeDocument/2006/relationships/hyperlink"/><Relationship Id="rId12" Target="https://ruijie.feishu.cn/wiki/CwgowkvM7iW6XykKkIKcVuZQnJb" TargetMode="External" Type="http://schemas.openxmlformats.org/officeDocument/2006/relationships/hyperlink"/><Relationship Id="rId13" Target="https://ruijie.feishu.cn/wiki/RSg8w3hBditlhHkdiPIcaWMEnoe" TargetMode="External" Type="http://schemas.openxmlformats.org/officeDocument/2006/relationships/hyperlink"/><Relationship Id="rId14" Target="https://ruijie.feishu.cn/wiki/XVhWwuixtiPX1gkLH1MccH50n5Y" TargetMode="External" Type="http://schemas.openxmlformats.org/officeDocument/2006/relationships/hyperlink"/><Relationship Id="rId15" Target="https://ruijie.feishu.cn/docx/JJGMdTvQEoqBVXxyN7ycalKVnhc" TargetMode="External" Type="http://schemas.openxmlformats.org/officeDocument/2006/relationships/hyperlink"/><Relationship Id="rId16" Target="media/image5.png" Type="http://schemas.openxmlformats.org/officeDocument/2006/relationships/image"/><Relationship Id="rId17" Target="https://ruijie.feishu.cn/wiki/CwgowkvM7iW6XykKkIKcVuZQnJb" TargetMode="External" Type="http://schemas.openxmlformats.org/officeDocument/2006/relationships/hyperlink"/><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wiki/BFsFwqjpKiYTxjkYFU9cABDKnfb"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2025-05-14T01:41:24Z</dcterms:created>
  <dc:creator>Apache POI</dc:creator>
</cp:coreProperties>
</file>