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M14.0 ITR流程说明文件-V1.0</w:t>
      </w:r>
    </w:p>
    <w:p>
      <w:pPr>
        <w:spacing w:before="120" w:after="120" w:line="288" w:lineRule="auto"/>
        <w:ind w:left="0" w:firstLine="0"/>
        <w:jc w:val="left"/>
      </w:pPr>
      <w:r>
        <w:rPr>
          <w:rFonts w:eastAsia="等线" w:ascii="Arial" w:cs="Arial" w:hAnsi="Arial"/>
          <w:b w:val="true"/>
          <w:sz w:val="22"/>
        </w:rPr>
        <w:t>M14.0 ITR流程说明文件-V1.0</w:t>
      </w:r>
    </w:p>
    <w:p>
      <w:pPr>
        <w:spacing w:before="120" w:after="120" w:line="288" w:lineRule="auto"/>
        <w:ind w:left="0" w:firstLine="0"/>
        <w:jc w:val="right"/>
      </w:pPr>
      <w:r>
        <w:rPr>
          <w:rFonts w:eastAsia="等线" w:ascii="Arial" w:cs="Arial" w:hAnsi="Arial"/>
          <w:sz w:val="22"/>
        </w:rPr>
        <w:t>密级：B</w:t>
      </w:r>
    </w:p>
    <w:p>
      <w:pPr>
        <w:spacing w:before="120" w:after="120" w:line="288" w:lineRule="auto"/>
        <w:ind w:left="0" w:firstLine="0"/>
        <w:jc w:val="right"/>
      </w:pPr>
      <w:r>
        <w:rPr>
          <w:rFonts w:eastAsia="等线" w:ascii="Arial" w:cs="Arial" w:hAnsi="Arial"/>
          <w:i w:val="true"/>
          <w:color w:val="d83931"/>
          <w:sz w:val="22"/>
        </w:rPr>
        <w:t>撰写说明：统一B级</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M14.0 ITR从问题到解决</w:t>
      </w:r>
      <w:bookmarkEnd w:id="2"/>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15"/>
        <w:gridCol w:w="1815"/>
        <w:gridCol w:w="765"/>
        <w:gridCol w:w="1275"/>
        <w:gridCol w:w="1350"/>
        <w:gridCol w:w="1260"/>
      </w:tblGrid>
      <w:tr>
        <w:tc>
          <w:tcPr>
            <w:tcW w:w="56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文件名称：ITR流程说明文件</w:t>
            </w: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版本：V1.0</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70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文件编号：MTCV-ITR-从问题到解决-V1.0</w:t>
            </w: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610"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生效日期：2025/3/25</w:t>
            </w:r>
          </w:p>
        </w:tc>
        <w:tc>
          <w:tcPr>
            <w:tcW w:w="1260" w:type="dxa"/>
            <w:hMerge w:val="continue"/>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PO：余育淦</w:t>
            </w:r>
          </w:p>
        </w:tc>
        <w:tc>
          <w:tcPr>
            <w:tcW w:w="520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PO：邵显涛、唐昊、陈虎林</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388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w:t>
            </w:r>
          </w:p>
        </w:tc>
        <w:tc>
          <w:tcPr>
            <w:tcW w:w="1350" w:type="dxa"/>
            <w:hMerge w:val="continue"/>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流程PO：余育淦</w:t>
            </w:r>
          </w:p>
          <w:p>
            <w:pPr>
              <w:spacing w:before="120" w:after="120" w:line="288" w:lineRule="auto"/>
              <w:ind w:left="0"/>
              <w:jc w:val="left"/>
            </w:pPr>
            <w:r>
              <w:rPr>
                <w:rFonts w:eastAsia="等线" w:ascii="Arial" w:cs="Arial" w:hAnsi="Arial"/>
                <w:sz w:val="22"/>
              </w:rPr>
              <w:t>流程PC：张炯</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余育淦</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2024-3-25</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tc>
      </w:tr>
      <w:tr>
        <w:tc>
          <w:tcPr>
            <w:tcW w:w="1815"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1. </w:t>
      </w:r>
      <w:r>
        <w:rPr>
          <w:rFonts w:eastAsia="等线" w:ascii="Arial" w:cs="Arial" w:hAnsi="Arial"/>
          <w:b w:val="true"/>
          <w:sz w:val="36"/>
        </w:rPr>
        <w:t>目的</w:t>
      </w:r>
      <w:bookmarkEnd w:id="3"/>
    </w:p>
    <w:p>
      <w:pPr>
        <w:spacing w:before="120" w:after="120" w:line="288" w:lineRule="auto"/>
        <w:ind w:left="0" w:firstLine="420"/>
        <w:jc w:val="left"/>
      </w:pPr>
      <w:r>
        <w:rPr>
          <w:rFonts w:eastAsia="等线" w:ascii="Arial" w:cs="Arial" w:hAnsi="Arial"/>
          <w:sz w:val="22"/>
        </w:rPr>
        <w:t>快速解决问题是客户满意的生命线，良好的客户问题管理会给带来加倍的利润，特制定本程序：</w:t>
      </w:r>
    </w:p>
    <w:p>
      <w:pPr>
        <w:spacing w:before="120" w:after="120" w:line="288" w:lineRule="auto"/>
        <w:ind w:left="0" w:firstLine="420"/>
        <w:jc w:val="left"/>
      </w:pPr>
      <w:r>
        <w:rPr>
          <w:rFonts w:eastAsia="等线" w:ascii="Arial" w:cs="Arial" w:hAnsi="Arial"/>
          <w:sz w:val="22"/>
        </w:rPr>
        <w:t>（1）快速定位，提供有效的解决方案，确保服务请求在要求的SLA时间内解决。</w:t>
      </w:r>
    </w:p>
    <w:p>
      <w:pPr>
        <w:spacing w:before="120" w:after="120" w:line="288" w:lineRule="auto"/>
        <w:ind w:left="0" w:firstLine="420"/>
        <w:jc w:val="left"/>
      </w:pPr>
      <w:r>
        <w:rPr>
          <w:rFonts w:eastAsia="等线" w:ascii="Arial" w:cs="Arial" w:hAnsi="Arial"/>
          <w:sz w:val="22"/>
        </w:rPr>
        <w:t>（2）明确流程中各角色的职责及活动，确保服务请求端到端的规范处理。</w:t>
      </w:r>
    </w:p>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2. </w:t>
      </w:r>
      <w:r>
        <w:rPr>
          <w:rFonts w:eastAsia="等线" w:ascii="Arial" w:cs="Arial" w:hAnsi="Arial"/>
          <w:b w:val="true"/>
          <w:sz w:val="36"/>
        </w:rPr>
        <w:t>适用范围</w:t>
      </w:r>
      <w:bookmarkEnd w:id="4"/>
    </w:p>
    <w:p>
      <w:pPr>
        <w:spacing w:before="120" w:after="120" w:line="288" w:lineRule="auto"/>
        <w:ind w:left="0" w:firstLine="420"/>
        <w:jc w:val="left"/>
      </w:pPr>
      <w:r>
        <w:rPr>
          <w:rFonts w:eastAsia="等线" w:ascii="Arial" w:cs="Arial" w:hAnsi="Arial"/>
          <w:sz w:val="22"/>
        </w:rPr>
        <w:t>本文描述了客户服务请求处理的相关术语定义、流程角色及职责、以及服务请求处理的作业过程。指导各流程角色通过收集信息、分析定位、升级处理等流程活动，快速定位，制定解决方案，传递及验证方案，及时并有效地解决服务请求。</w:t>
      </w:r>
    </w:p>
    <w:p>
      <w:pPr>
        <w:spacing w:before="120" w:after="120" w:line="288" w:lineRule="auto"/>
        <w:ind w:left="0" w:firstLine="420"/>
        <w:jc w:val="left"/>
      </w:pPr>
      <w:r>
        <w:rPr>
          <w:rFonts w:eastAsia="等线" w:ascii="Arial" w:cs="Arial" w:hAnsi="Arial"/>
          <w:sz w:val="22"/>
        </w:rPr>
        <w:t>服务请求处理各角色须严格遵照执行本流程活动，确保提供的服务满足客户对网络安全及隐私保护的需求，保证客户网络与数据安全。</w:t>
      </w:r>
    </w:p>
    <w:p>
      <w:pPr>
        <w:spacing w:before="120" w:after="120" w:line="288" w:lineRule="auto"/>
        <w:ind w:left="0" w:firstLine="420"/>
        <w:jc w:val="left"/>
      </w:pPr>
      <w:r>
        <w:rPr>
          <w:rFonts w:eastAsia="等线" w:ascii="Arial" w:cs="Arial" w:hAnsi="Arial"/>
          <w:sz w:val="22"/>
        </w:rPr>
        <w:t>本文涵盖客户的服务请求问题处理，包含合同交付验收后、合同交付过程中、测试和实验局交付过程中的网络变更、项目交付、售前测试、网络维护等服务请求问题。</w:t>
      </w:r>
    </w:p>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3. </w:t>
      </w:r>
      <w:r>
        <w:rPr>
          <w:rFonts w:eastAsia="等线" w:ascii="Arial" w:cs="Arial" w:hAnsi="Arial"/>
          <w:b w:val="true"/>
          <w:sz w:val="36"/>
        </w:rPr>
        <w:t>名词解释</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717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7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定义</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故障</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由于锐捷网络产品的软硬件异常或缺陷、客户网络环境原因、配置原因、人为原因等，导致客户网络中断或网络应用质量下降，影响客户业务运营的事件或客户端感知为故障的事件。</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紧急恢复（SOS）</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是指针对客户网络或设备运行期间发生中断，立即投入资源进行恢复的一种服务。 </w:t>
            </w:r>
          </w:p>
          <w:p>
            <w:pPr>
              <w:spacing w:before="120" w:after="120" w:line="288" w:lineRule="auto"/>
              <w:ind w:left="0"/>
              <w:jc w:val="left"/>
            </w:pPr>
            <w:r>
              <w:rPr>
                <w:rFonts w:eastAsia="等线" w:ascii="Arial" w:cs="Arial" w:hAnsi="Arial"/>
                <w:sz w:val="22"/>
              </w:rPr>
              <w:t xml:space="preserve">恢复：是指客户网络或设备的功能复原到故障发生前状态或客户接受状态的过程。 </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定界</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确定故障出现的位置或范围，即确定故障所在的系统、子系统、模块或组件。</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定位</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通过技术手段确定产品故障根因的过程。</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规避</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指在最终方案提供之前，通过实施临时方案减轻或消除故障对业务的影响，保障系统的稳定运行。</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故障级别</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故障级别决定故障处理顺序的优先级和所需资源的优先级，包括一级故障、二级故障、三级故障、四级故障。</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故障技术升级</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指需要具有更专业技能或更高技术授权的人员来参与故障的解决。</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故障等级升级</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根据客户对故障解决时效的要求，合理调整故障等级，提供更加适配的资源，快速解决故障，比如三级故障升级为二级故障。</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频发故障</w:t>
            </w:r>
          </w:p>
        </w:tc>
        <w:tc>
          <w:tcPr>
            <w:tcW w:w="7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同一最终客户30天内已出现过2例一二级故障之后，新增的故障（含一、二、三级）均定义为频发故障。</w:t>
            </w:r>
          </w:p>
        </w:tc>
      </w:tr>
    </w:tbl>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4. </w:t>
      </w:r>
      <w:r>
        <w:rPr>
          <w:rFonts w:eastAsia="等线" w:ascii="Arial" w:cs="Arial" w:hAnsi="Arial"/>
          <w:b w:val="true"/>
          <w:sz w:val="36"/>
        </w:rPr>
        <w:t>职责分工</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5910"/>
        <w:gridCol w:w="1635"/>
      </w:tblGrid>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w:t>
            </w:r>
          </w:p>
        </w:tc>
        <w:tc>
          <w:tcPr>
            <w:tcW w:w="5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职责</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建议角色来源</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交付工程师</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1、作为全流程服务请求处理主责人，对SLA的达成及客户满意度负责。</w:t>
            </w:r>
          </w:p>
          <w:p>
            <w:pPr>
              <w:spacing w:before="120" w:after="120" w:line="288" w:lineRule="auto"/>
              <w:ind w:left="0"/>
              <w:jc w:val="left"/>
            </w:pPr>
            <w:r>
              <w:rPr>
                <w:rFonts w:eastAsia="等线" w:ascii="Arial" w:cs="Arial" w:hAnsi="Arial"/>
                <w:sz w:val="22"/>
              </w:rPr>
              <w:t>2、及时响应服务请求处理请求，进行服务请求等级初始定级，对问题单上记录信息的准确性和完整性负责。</w:t>
            </w:r>
          </w:p>
          <w:p>
            <w:pPr>
              <w:spacing w:before="120" w:after="120" w:line="288" w:lineRule="auto"/>
              <w:ind w:left="0"/>
              <w:jc w:val="left"/>
            </w:pPr>
            <w:r>
              <w:rPr>
                <w:rFonts w:eastAsia="等线" w:ascii="Arial" w:cs="Arial" w:hAnsi="Arial"/>
                <w:sz w:val="22"/>
              </w:rPr>
              <w:t>3、及时主动识别客户端的风险和诉求，明确客户对服务请求处理的要求，比如定位时效、恢复时效、提供故障报告时间等。</w:t>
            </w:r>
          </w:p>
          <w:p>
            <w:pPr>
              <w:spacing w:before="120" w:after="120" w:line="288" w:lineRule="auto"/>
              <w:ind w:left="0"/>
              <w:jc w:val="left"/>
            </w:pPr>
            <w:r>
              <w:rPr>
                <w:rFonts w:eastAsia="等线" w:ascii="Arial" w:cs="Arial" w:hAnsi="Arial"/>
                <w:sz w:val="22"/>
              </w:rPr>
              <w:t>4、管理服务请求的处理过程及进展，确保客户接收到最新处理进展。</w:t>
            </w:r>
          </w:p>
          <w:p>
            <w:pPr>
              <w:spacing w:before="120" w:after="120" w:line="288" w:lineRule="auto"/>
              <w:ind w:left="0"/>
              <w:jc w:val="left"/>
            </w:pPr>
            <w:r>
              <w:rPr>
                <w:rFonts w:eastAsia="等线" w:ascii="Arial" w:cs="Arial" w:hAnsi="Arial"/>
                <w:sz w:val="22"/>
              </w:rPr>
              <w:t>5、如果需要升级，在SLA时效要求内及时升级。</w:t>
            </w:r>
          </w:p>
          <w:p>
            <w:pPr>
              <w:spacing w:before="120" w:after="120" w:line="288" w:lineRule="auto"/>
              <w:ind w:left="0"/>
              <w:jc w:val="left"/>
            </w:pPr>
            <w:r>
              <w:rPr>
                <w:rFonts w:eastAsia="等线" w:ascii="Arial" w:cs="Arial" w:hAnsi="Arial"/>
                <w:sz w:val="22"/>
              </w:rPr>
              <w:t>6、主导完成或指导客户完成信息收集，确保一次性完成信息收集。</w:t>
            </w:r>
          </w:p>
          <w:p>
            <w:pPr>
              <w:spacing w:before="120" w:after="120" w:line="288" w:lineRule="auto"/>
              <w:ind w:left="0"/>
              <w:jc w:val="left"/>
            </w:pPr>
            <w:r>
              <w:rPr>
                <w:rFonts w:eastAsia="等线" w:ascii="Arial" w:cs="Arial" w:hAnsi="Arial"/>
                <w:sz w:val="22"/>
              </w:rPr>
              <w:t>7、负责向客户申请授权并实施方案。</w:t>
            </w:r>
          </w:p>
          <w:p>
            <w:pPr>
              <w:spacing w:before="120" w:after="120" w:line="288" w:lineRule="auto"/>
              <w:ind w:left="0"/>
              <w:jc w:val="left"/>
            </w:pPr>
            <w:r>
              <w:rPr>
                <w:rFonts w:eastAsia="等线" w:ascii="Arial" w:cs="Arial" w:hAnsi="Arial"/>
                <w:sz w:val="22"/>
              </w:rPr>
              <w:t>8、负责及时有效地完成产品工程师分派的任务。</w:t>
            </w:r>
          </w:p>
          <w:p>
            <w:pPr>
              <w:spacing w:before="120" w:after="120" w:line="288" w:lineRule="auto"/>
              <w:ind w:left="0"/>
              <w:jc w:val="left"/>
            </w:pPr>
            <w:r>
              <w:rPr>
                <w:rFonts w:eastAsia="等线" w:ascii="Arial" w:cs="Arial" w:hAnsi="Arial"/>
                <w:sz w:val="22"/>
              </w:rPr>
              <w:t>9、面向客户汇报材料（包含故障报告）整理与最终输出，并向客户汇报故障处理进展和故障报告。</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一线工程师、L1工程师、L2工程师、快处工程师、服务代表、</w:t>
            </w:r>
          </w:p>
          <w:p>
            <w:pPr>
              <w:spacing w:before="120" w:after="120" w:line="288" w:lineRule="auto"/>
              <w:ind w:left="0"/>
              <w:jc w:val="left"/>
            </w:pPr>
            <w:r>
              <w:rPr>
                <w:rFonts w:eastAsia="等线" w:ascii="Arial" w:cs="Arial" w:hAnsi="Arial"/>
                <w:sz w:val="22"/>
              </w:rPr>
              <w:t>行业工程师</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产品工程师</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1、在SLA到期前提供解决方案，对方案的一次有效性负责。</w:t>
            </w:r>
          </w:p>
          <w:p>
            <w:pPr>
              <w:spacing w:before="120" w:after="120" w:line="288" w:lineRule="auto"/>
              <w:ind w:left="0"/>
              <w:jc w:val="left"/>
            </w:pPr>
            <w:r>
              <w:rPr>
                <w:rFonts w:eastAsia="等线" w:ascii="Arial" w:cs="Arial" w:hAnsi="Arial"/>
                <w:sz w:val="22"/>
              </w:rPr>
              <w:t>2、及时响应升级的服务请求处理请求。</w:t>
            </w:r>
          </w:p>
          <w:p>
            <w:pPr>
              <w:spacing w:before="120" w:after="120" w:line="288" w:lineRule="auto"/>
              <w:ind w:left="0"/>
              <w:jc w:val="left"/>
            </w:pPr>
            <w:r>
              <w:rPr>
                <w:rFonts w:eastAsia="等线" w:ascii="Arial" w:cs="Arial" w:hAnsi="Arial"/>
                <w:sz w:val="22"/>
              </w:rPr>
              <w:t>3、如需收集信息，制定信息收集方案，对信息收集方案的一次有效性负责。</w:t>
            </w:r>
          </w:p>
          <w:p>
            <w:pPr>
              <w:spacing w:before="120" w:after="120" w:line="288" w:lineRule="auto"/>
              <w:ind w:left="0"/>
              <w:jc w:val="left"/>
            </w:pPr>
            <w:r>
              <w:rPr>
                <w:rFonts w:eastAsia="等线" w:ascii="Arial" w:cs="Arial" w:hAnsi="Arial"/>
                <w:sz w:val="22"/>
              </w:rPr>
              <w:t>4、及时记录及刷新服务请求的处理过程及进展。</w:t>
            </w:r>
          </w:p>
          <w:p>
            <w:pPr>
              <w:spacing w:before="120" w:after="120" w:line="288" w:lineRule="auto"/>
              <w:ind w:left="0"/>
              <w:jc w:val="left"/>
            </w:pPr>
            <w:r>
              <w:rPr>
                <w:rFonts w:eastAsia="等线" w:ascii="Arial" w:cs="Arial" w:hAnsi="Arial"/>
                <w:sz w:val="22"/>
              </w:rPr>
              <w:t>5、必要时现场支持交付工程师处理服务请求。</w:t>
            </w:r>
          </w:p>
          <w:p>
            <w:pPr>
              <w:spacing w:before="120" w:after="120" w:line="288" w:lineRule="auto"/>
              <w:ind w:left="0"/>
              <w:jc w:val="left"/>
            </w:pPr>
            <w:r>
              <w:rPr>
                <w:rFonts w:eastAsia="等线" w:ascii="Arial" w:cs="Arial" w:hAnsi="Arial"/>
                <w:sz w:val="22"/>
              </w:rPr>
              <w:t>6、及时提供《故障处理报告》给交付工程师。</w:t>
            </w:r>
          </w:p>
          <w:p>
            <w:pPr>
              <w:spacing w:before="120" w:after="120" w:line="288" w:lineRule="auto"/>
              <w:ind w:left="0"/>
              <w:jc w:val="left"/>
            </w:pPr>
            <w:r>
              <w:rPr>
                <w:rFonts w:eastAsia="等线" w:ascii="Arial" w:cs="Arial" w:hAnsi="Arial"/>
                <w:sz w:val="22"/>
              </w:rPr>
              <w:t>7、若判断无法解决服务请求，及时升级研发工程师。</w:t>
            </w:r>
          </w:p>
          <w:p>
            <w:pPr>
              <w:spacing w:before="120" w:after="120" w:line="288" w:lineRule="auto"/>
              <w:ind w:left="0"/>
              <w:jc w:val="left"/>
            </w:pPr>
            <w:r>
              <w:rPr>
                <w:rFonts w:eastAsia="等线" w:ascii="Arial" w:cs="Arial" w:hAnsi="Arial"/>
                <w:sz w:val="22"/>
              </w:rPr>
              <w:t>8、负责复核研发工程师提供的信息收集方案、定位结论、规避&amp;解决方案，主动评估风险和影响，确保方案/报告一次有效。</w:t>
            </w:r>
          </w:p>
          <w:p>
            <w:pPr>
              <w:spacing w:before="120" w:after="120" w:line="288" w:lineRule="auto"/>
              <w:ind w:left="0"/>
              <w:jc w:val="left"/>
            </w:pPr>
            <w:r>
              <w:rPr>
                <w:rFonts w:eastAsia="等线" w:ascii="Arial" w:cs="Arial" w:hAnsi="Arial"/>
                <w:sz w:val="22"/>
              </w:rPr>
              <w:t>9、及时有效的完成研发工程师分派的任务。</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L2工程师、快处工程师、服务代表、</w:t>
            </w:r>
          </w:p>
          <w:p>
            <w:pPr>
              <w:spacing w:before="120" w:after="120" w:line="288" w:lineRule="auto"/>
              <w:ind w:left="0"/>
              <w:jc w:val="left"/>
            </w:pPr>
            <w:r>
              <w:rPr>
                <w:rFonts w:eastAsia="等线" w:ascii="Arial" w:cs="Arial" w:hAnsi="Arial"/>
                <w:sz w:val="22"/>
              </w:rPr>
              <w:t>行业工程师</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研发维护接口人</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1、在业务要求的时间内响应升级的服务请求处理请求，作为三线处理责任人开始处理。</w:t>
            </w:r>
          </w:p>
          <w:p>
            <w:pPr>
              <w:spacing w:before="120" w:after="120" w:line="288" w:lineRule="auto"/>
              <w:ind w:left="0"/>
              <w:jc w:val="left"/>
            </w:pPr>
            <w:r>
              <w:rPr>
                <w:rFonts w:eastAsia="等线" w:ascii="Arial" w:cs="Arial" w:hAnsi="Arial"/>
                <w:sz w:val="22"/>
              </w:rPr>
              <w:t>2、要求在SLA解决时长内或业务要求的时长内提供解决方案，并对故障原因定位一次准确性、方案的一次有效性负责。</w:t>
            </w:r>
          </w:p>
          <w:p>
            <w:pPr>
              <w:spacing w:before="120" w:after="120" w:line="288" w:lineRule="auto"/>
              <w:ind w:left="0"/>
              <w:jc w:val="left"/>
            </w:pPr>
            <w:r>
              <w:rPr>
                <w:rFonts w:eastAsia="等线" w:ascii="Arial" w:cs="Arial" w:hAnsi="Arial"/>
                <w:sz w:val="22"/>
              </w:rPr>
              <w:t>3、负责对研发端服务请求处理的跟踪和管理，确保服务请求处理规范性和及时性。</w:t>
            </w:r>
          </w:p>
          <w:p>
            <w:pPr>
              <w:spacing w:before="120" w:after="120" w:line="288" w:lineRule="auto"/>
              <w:ind w:left="0"/>
              <w:jc w:val="left"/>
            </w:pPr>
            <w:r>
              <w:rPr>
                <w:rFonts w:eastAsia="等线" w:ascii="Arial" w:cs="Arial" w:hAnsi="Arial"/>
                <w:sz w:val="22"/>
              </w:rPr>
              <w:t>4、及时刷新服务请求的处理进展。</w:t>
            </w:r>
          </w:p>
          <w:p>
            <w:pPr>
              <w:spacing w:before="120" w:after="120" w:line="288" w:lineRule="auto"/>
              <w:ind w:left="0"/>
              <w:jc w:val="left"/>
            </w:pPr>
            <w:r>
              <w:rPr>
                <w:rFonts w:eastAsia="等线" w:ascii="Arial" w:cs="Arial" w:hAnsi="Arial"/>
                <w:sz w:val="22"/>
              </w:rPr>
              <w:t>5、及时分发给合适的研发工程师处理，包括但不限于模块开发工程师、测试工程师等。</w:t>
            </w:r>
          </w:p>
          <w:p>
            <w:pPr>
              <w:spacing w:before="120" w:after="120" w:line="288" w:lineRule="auto"/>
              <w:ind w:left="0"/>
              <w:jc w:val="left"/>
            </w:pPr>
            <w:r>
              <w:rPr>
                <w:rFonts w:eastAsia="等线" w:ascii="Arial" w:cs="Arial" w:hAnsi="Arial"/>
                <w:sz w:val="22"/>
              </w:rPr>
              <w:t>6、跨产品跨模块处理的研发协调人。</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事业部/研究院的研发工程师</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研发工程师</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1、在业务要求的时间内响应升级的服务请求处理请求。</w:t>
            </w:r>
          </w:p>
          <w:p>
            <w:pPr>
              <w:spacing w:before="120" w:after="120" w:line="288" w:lineRule="auto"/>
              <w:ind w:left="0"/>
              <w:jc w:val="left"/>
            </w:pPr>
            <w:r>
              <w:rPr>
                <w:rFonts w:eastAsia="等线" w:ascii="Arial" w:cs="Arial" w:hAnsi="Arial"/>
                <w:sz w:val="22"/>
              </w:rPr>
              <w:t>2、要求在SLA解决时长内或业务要求的时长内提供解决方案，并对故障原因定位一次准确性、方案的一次有效性负责。</w:t>
            </w:r>
          </w:p>
          <w:p>
            <w:pPr>
              <w:spacing w:before="120" w:after="120" w:line="288" w:lineRule="auto"/>
              <w:ind w:left="0"/>
              <w:jc w:val="left"/>
            </w:pPr>
            <w:r>
              <w:rPr>
                <w:rFonts w:eastAsia="等线" w:ascii="Arial" w:cs="Arial" w:hAnsi="Arial"/>
                <w:sz w:val="22"/>
              </w:rPr>
              <w:t>3、如需收集信息，制定收集信息方案，确保一次性完成收集信息。</w:t>
            </w:r>
          </w:p>
          <w:p>
            <w:pPr>
              <w:spacing w:before="120" w:after="120" w:line="288" w:lineRule="auto"/>
              <w:ind w:left="0"/>
              <w:jc w:val="left"/>
            </w:pPr>
            <w:r>
              <w:rPr>
                <w:rFonts w:eastAsia="等线" w:ascii="Arial" w:cs="Arial" w:hAnsi="Arial"/>
                <w:sz w:val="22"/>
              </w:rPr>
              <w:t>4、及时记录及刷新服务请求的处理过程及进展。</w:t>
            </w:r>
          </w:p>
          <w:p>
            <w:pPr>
              <w:spacing w:before="120" w:after="120" w:line="288" w:lineRule="auto"/>
              <w:ind w:left="0"/>
              <w:jc w:val="left"/>
            </w:pPr>
            <w:r>
              <w:rPr>
                <w:rFonts w:eastAsia="等线" w:ascii="Arial" w:cs="Arial" w:hAnsi="Arial"/>
                <w:sz w:val="22"/>
              </w:rPr>
              <w:t>5、必要时现场支持交付工程师处理服务请求。</w:t>
            </w:r>
          </w:p>
          <w:p>
            <w:pPr>
              <w:spacing w:before="120" w:after="120" w:line="288" w:lineRule="auto"/>
              <w:ind w:left="0"/>
              <w:jc w:val="left"/>
            </w:pPr>
            <w:r>
              <w:rPr>
                <w:rFonts w:eastAsia="等线" w:ascii="Arial" w:cs="Arial" w:hAnsi="Arial"/>
                <w:sz w:val="22"/>
              </w:rPr>
              <w:t>6、按需及时提供产品类故障的《故障处理报告》。</w:t>
            </w:r>
          </w:p>
          <w:p>
            <w:pPr>
              <w:spacing w:before="120" w:after="120" w:line="288" w:lineRule="auto"/>
              <w:ind w:left="0"/>
              <w:jc w:val="left"/>
            </w:pPr>
            <w:r>
              <w:rPr>
                <w:rFonts w:eastAsia="等线" w:ascii="Arial" w:cs="Arial" w:hAnsi="Arial"/>
                <w:sz w:val="22"/>
              </w:rPr>
              <w:t>7、如是硬件服务请求且需返回分析，则发起坏件返回及分析请求，提供坏件分析报告。</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事业部/研究院的研发工程师</w:t>
            </w:r>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color w:val="245bdb"/>
          <w:sz w:val="36"/>
        </w:rPr>
        <w:t xml:space="preserve">5. </w:t>
      </w:r>
      <w:r>
        <w:rPr>
          <w:rFonts w:eastAsia="等线" w:ascii="Arial" w:cs="Arial" w:hAnsi="Arial"/>
          <w:b w:val="true"/>
          <w:sz w:val="36"/>
        </w:rPr>
        <w:t>流程文件说明</w:t>
      </w:r>
      <w:bookmarkEnd w:id="7"/>
    </w:p>
    <w:p>
      <w:pPr>
        <w:pStyle w:val="2"/>
        <w:spacing w:before="320" w:after="120" w:line="288" w:lineRule="auto"/>
        <w:ind w:left="0"/>
        <w:jc w:val="left"/>
        <w:outlineLvl w:val="1"/>
      </w:pPr>
      <w:bookmarkStart w:name="heading_8" w:id="8"/>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8"/>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9" w:id="9"/>
      <w:r>
        <w:rPr>
          <w:rFonts w:eastAsia="等线" w:ascii="Arial" w:cs="Arial" w:hAnsi="Arial"/>
          <w:b w:val="true"/>
          <w:color w:val="245bdb"/>
          <w:sz w:val="32"/>
        </w:rPr>
        <w:t xml:space="preserve">5.2 </w:t>
      </w:r>
      <w:r>
        <w:rPr>
          <w:rFonts w:eastAsia="等线" w:ascii="Arial" w:cs="Arial" w:hAnsi="Arial"/>
          <w:b w:val="true"/>
          <w:sz w:val="32"/>
        </w:rPr>
        <w:t>流程图</w:t>
      </w:r>
      <w:bookmarkEnd w:id="9"/>
    </w:p>
    <w:p>
      <w:pPr>
        <w:pStyle w:val="3"/>
        <w:spacing w:before="300" w:after="120" w:line="288" w:lineRule="auto"/>
        <w:ind w:left="0"/>
        <w:jc w:val="left"/>
        <w:outlineLvl w:val="2"/>
      </w:pPr>
      <w:bookmarkStart w:name="heading_10" w:id="10"/>
      <w:r>
        <w:rPr>
          <w:rFonts w:eastAsia="等线" w:ascii="Arial" w:cs="Arial" w:hAnsi="Arial"/>
          <w:b w:val="true"/>
          <w:color w:val="245bdb"/>
          <w:sz w:val="30"/>
        </w:rPr>
        <w:t xml:space="preserve">5.2.1 </w:t>
      </w:r>
      <w:r>
        <w:rPr>
          <w:rFonts w:eastAsia="等线" w:ascii="Arial" w:cs="Arial" w:hAnsi="Arial"/>
          <w:b w:val="true"/>
          <w:sz w:val="30"/>
        </w:rPr>
        <w:t>L2流程框架（键盘图）</w:t>
      </w:r>
      <w:bookmarkEnd w:id="10"/>
    </w:p>
    <w:p>
      <w:pPr>
        <w:spacing w:before="120" w:after="120" w:line="288" w:lineRule="auto"/>
        <w:ind w:left="0" w:firstLine="420"/>
        <w:jc w:val="left"/>
      </w:pPr>
      <w:r>
        <w:rPr>
          <w:rFonts w:eastAsia="等线" w:ascii="Arial" w:cs="Arial" w:hAnsi="Arial"/>
          <w:b w:val="true"/>
          <w:sz w:val="22"/>
        </w:rPr>
        <w:t>1、L2流程键盘图</w:t>
      </w:r>
    </w:p>
    <w:p>
      <w:pPr>
        <w:spacing w:before="120" w:after="120" w:line="288" w:lineRule="auto"/>
        <w:ind w:left="0"/>
        <w:jc w:val="center"/>
      </w:pPr>
      <w:r>
        <w:drawing>
          <wp:inline distT="0" distR="0" distB="0" distL="0">
            <wp:extent cx="5257800" cy="3429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29000"/>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5.2.2 </w:t>
      </w:r>
      <w:r>
        <w:rPr>
          <w:rFonts w:eastAsia="等线" w:ascii="Arial" w:cs="Arial" w:hAnsi="Arial"/>
          <w:b w:val="true"/>
          <w:sz w:val="30"/>
        </w:rPr>
        <w:t>L2流程示意图</w:t>
      </w:r>
      <w:bookmarkEnd w:id="11"/>
    </w:p>
    <w:p>
      <w:pPr>
        <w:spacing w:before="120" w:after="120" w:line="288" w:lineRule="auto"/>
        <w:ind w:left="0"/>
        <w:jc w:val="center"/>
      </w:pPr>
      <w:r>
        <w:drawing>
          <wp:inline distT="0" distR="0" distB="0" distL="0">
            <wp:extent cx="5257800" cy="25431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54317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5.2.3 </w:t>
      </w:r>
      <w:r>
        <w:rPr>
          <w:rFonts w:eastAsia="等线" w:ascii="Arial" w:cs="Arial" w:hAnsi="Arial"/>
          <w:b w:val="true"/>
          <w:sz w:val="30"/>
        </w:rPr>
        <w:t>L2流程泳道图</w:t>
      </w:r>
      <w:bookmarkEnd w:id="12"/>
    </w:p>
    <w:p>
      <w:pPr>
        <w:spacing w:before="120" w:after="120" w:line="288" w:lineRule="auto"/>
        <w:ind w:left="0"/>
        <w:jc w:val="center"/>
      </w:pPr>
      <w:r>
        <w:drawing>
          <wp:inline distT="0" distR="0" distB="0" distL="0">
            <wp:extent cx="5257800" cy="2209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209800"/>
                    </a:xfrm>
                    <a:prstGeom prst="rect">
                      <a:avLst/>
                    </a:prstGeom>
                  </pic:spPr>
                </pic:pic>
              </a:graphicData>
            </a:graphic>
          </wp:inline>
        </w:drawing>
      </w:r>
    </w:p>
    <w:p>
      <w:pPr>
        <w:spacing w:before="120" w:after="120" w:line="288" w:lineRule="auto"/>
        <w:ind w:left="0" w:firstLine="0"/>
        <w:jc w:val="left"/>
      </w:pPr>
    </w:p>
    <w:p>
      <w:pPr>
        <w:pStyle w:val="2"/>
        <w:spacing w:before="320" w:after="120" w:line="288" w:lineRule="auto"/>
        <w:ind w:left="0"/>
        <w:jc w:val="left"/>
        <w:outlineLvl w:val="1"/>
      </w:pPr>
      <w:bookmarkStart w:name="heading_13" w:id="13"/>
      <w:r>
        <w:rPr>
          <w:rFonts w:eastAsia="等线" w:ascii="Arial" w:cs="Arial" w:hAnsi="Arial"/>
          <w:b w:val="true"/>
          <w:color w:val="245bdb"/>
          <w:sz w:val="32"/>
        </w:rPr>
        <w:t xml:space="preserve">5.3 </w:t>
      </w:r>
      <w:r>
        <w:rPr>
          <w:rFonts w:eastAsia="等线" w:ascii="Arial" w:cs="Arial" w:hAnsi="Arial"/>
          <w:b w:val="true"/>
          <w:sz w:val="32"/>
        </w:rPr>
        <w:t>服务请求受理</w:t>
      </w:r>
      <w:bookmarkEnd w:id="13"/>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5.3.1 </w:t>
      </w:r>
      <w:r>
        <w:rPr>
          <w:rFonts w:eastAsia="等线" w:ascii="Arial" w:cs="Arial" w:hAnsi="Arial"/>
          <w:b w:val="true"/>
          <w:sz w:val="30"/>
        </w:rPr>
        <w:t>流程卡</w:t>
      </w:r>
      <w:bookmarkEnd w:id="14"/>
    </w:p>
    <w:p>
      <w:pPr>
        <w:spacing w:before="120" w:after="120" w:line="288" w:lineRule="auto"/>
        <w:ind w:left="0" w:firstLine="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5" w:id="15"/>
      <w:r>
        <w:rPr>
          <w:rFonts w:eastAsia="等线" w:ascii="Arial" w:cs="Arial" w:hAnsi="Arial"/>
          <w:b w:val="true"/>
          <w:color w:val="245bdb"/>
          <w:sz w:val="30"/>
        </w:rPr>
        <w:t xml:space="preserve">5.3.2 </w:t>
      </w:r>
      <w:r>
        <w:rPr>
          <w:rFonts w:eastAsia="等线" w:ascii="Arial" w:cs="Arial" w:hAnsi="Arial"/>
          <w:b w:val="true"/>
          <w:sz w:val="30"/>
        </w:rPr>
        <w:t>流程示意图</w:t>
      </w:r>
      <w:bookmarkEnd w:id="15"/>
    </w:p>
    <w:p>
      <w:pPr>
        <w:spacing w:before="120" w:after="120" w:line="288" w:lineRule="auto"/>
        <w:ind w:left="0"/>
        <w:jc w:val="center"/>
      </w:pPr>
      <w:r>
        <w:drawing>
          <wp:inline distT="0" distR="0" distB="0" distL="0">
            <wp:extent cx="5257800" cy="15240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524000"/>
                    </a:xfrm>
                    <a:prstGeom prst="rect">
                      <a:avLst/>
                    </a:prstGeom>
                  </pic:spPr>
                </pic:pic>
              </a:graphicData>
            </a:graphic>
          </wp:inline>
        </w:drawing>
      </w:r>
    </w:p>
    <w:p>
      <w:pPr>
        <w:pStyle w:val="3"/>
        <w:spacing w:before="300" w:after="120" w:line="288" w:lineRule="auto"/>
        <w:ind w:left="0"/>
        <w:jc w:val="left"/>
        <w:outlineLvl w:val="2"/>
      </w:pPr>
      <w:bookmarkStart w:name="heading_16" w:id="16"/>
      <w:r>
        <w:rPr>
          <w:rFonts w:eastAsia="等线" w:ascii="Arial" w:cs="Arial" w:hAnsi="Arial"/>
          <w:b w:val="true"/>
          <w:color w:val="245bdb"/>
          <w:sz w:val="30"/>
        </w:rPr>
        <w:t xml:space="preserve">5.3.3 </w:t>
      </w:r>
      <w:r>
        <w:rPr>
          <w:rFonts w:eastAsia="等线" w:ascii="Arial" w:cs="Arial" w:hAnsi="Arial"/>
          <w:b w:val="true"/>
          <w:sz w:val="30"/>
        </w:rPr>
        <w:t>流程泳道图</w:t>
      </w:r>
      <w:bookmarkEnd w:id="16"/>
    </w:p>
    <w:p>
      <w:pPr>
        <w:spacing w:before="120" w:after="120" w:line="288" w:lineRule="auto"/>
        <w:ind w:left="0"/>
        <w:jc w:val="center"/>
      </w:pPr>
      <w:r>
        <w:drawing>
          <wp:inline distT="0" distR="0" distB="0" distL="0">
            <wp:extent cx="5257800" cy="1066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1066800"/>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b w:val="true"/>
          <w:color w:val="245bdb"/>
          <w:sz w:val="30"/>
        </w:rPr>
        <w:t xml:space="preserve">5.3.4 </w:t>
      </w:r>
      <w:r>
        <w:rPr>
          <w:rFonts w:eastAsia="等线" w:ascii="Arial" w:cs="Arial" w:hAnsi="Arial"/>
          <w:b w:val="true"/>
          <w:sz w:val="30"/>
        </w:rPr>
        <w:t>流程活动说明</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
        <w:gridCol w:w="390"/>
        <w:gridCol w:w="315"/>
        <w:gridCol w:w="1440"/>
        <w:gridCol w:w="390"/>
        <w:gridCol w:w="450"/>
        <w:gridCol w:w="825"/>
        <w:gridCol w:w="750"/>
        <w:gridCol w:w="975"/>
        <w:gridCol w:w="390"/>
        <w:gridCol w:w="1230"/>
        <w:gridCol w:w="495"/>
        <w:gridCol w:w="390"/>
      </w:tblGrid>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是否是KCP/KDP</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M14.1.1</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服务请求建单</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导接&amp;交付工程师</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交付工程师在SLA时效内及时响应客户服务请求，并与客户沟通了解具体服务诉求后，在CSM系统中创建服务请求单。</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客户服务请求</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清晰、准确的服务请求描述，所咨询产品信息准确</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待鉴权的服务请求单</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客户问题明确的服务请求工单</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锐捷内部员工（销售、售前等）在发起服务请求（故障、咨询、维修等）时，需要向一线服务人员申报，或通过4008热线、在线客服等通道申报，正式建立服务请求工单后进入服务请求处理流程。</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《服务请求受理程序》</w:t>
            </w:r>
          </w:p>
        </w:tc>
        <w:tc>
          <w:tcPr>
            <w:tcW w:w="39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M14.1.2</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服务对象鉴权</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导接&amp;交付工程师</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交付工程师与客户确认基础档案信息（客户单位、称呼等）、所咨询产品的序列号信息，并根据确认后的基础档案信息、序列号信息进行鉴权。鉴权规则详见《EBG TAC鉴权指导书》</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待鉴权的服务请求单</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1、完整的客户单位名称；</w:t>
            </w:r>
          </w:p>
          <w:p>
            <w:pPr>
              <w:spacing w:before="120" w:after="120" w:line="288" w:lineRule="auto"/>
              <w:ind w:left="0"/>
              <w:jc w:val="left"/>
            </w:pPr>
            <w:r>
              <w:rPr>
                <w:rFonts w:eastAsia="等线" w:ascii="Arial" w:cs="Arial" w:hAnsi="Arial"/>
                <w:sz w:val="22"/>
              </w:rPr>
              <w:t>3、准确、完整的序列号采集；</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1、修订后的客户档案</w:t>
            </w:r>
          </w:p>
          <w:p>
            <w:pPr>
              <w:spacing w:before="120" w:after="120" w:line="288" w:lineRule="auto"/>
              <w:ind w:left="0"/>
              <w:jc w:val="left"/>
            </w:pPr>
            <w:r>
              <w:rPr>
                <w:rFonts w:eastAsia="等线" w:ascii="Arial" w:cs="Arial" w:hAnsi="Arial"/>
                <w:sz w:val="22"/>
              </w:rPr>
              <w:t>2、服务鉴权结果</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符合《EBG TAC鉴权指导书》中定义的鉴权标准与规范要求</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关键点：鉴权序列号的准确采集</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增加了服务鉴权的步骤</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 TAC鉴权指导书》</w:t>
            </w:r>
          </w:p>
        </w:tc>
        <w:tc>
          <w:tcPr>
            <w:tcW w:w="39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M14.1.3</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紧急情况处理</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交付工程师与客户第一时间确认所咨询服务是否涉及大规模断网等重大故障，并依据《紧急故障（SOS）处理程序》进行业务分发与处理。</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客户服务请求</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最终客户名称、客户服务等级、涉及故障产品型号、故障产生影响面描述清晰、完整。</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紧急故障（SOS）请求单</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符合《紧急故障（SOS）处理程序》定义的紧急故障请求单</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《紧急故障（SOS）处理程序》</w:t>
            </w:r>
          </w:p>
        </w:tc>
        <w:tc>
          <w:tcPr>
            <w:tcW w:w="39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M14.1.4</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服务请求派单</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1、基于鉴权结果，进行服务请求转派，转派对象包含服务渠道、区域售后、市场等。转派规则详见《EBG TAC派单指导书》</w:t>
            </w:r>
          </w:p>
          <w:p>
            <w:pPr>
              <w:spacing w:before="120" w:after="120" w:line="288" w:lineRule="auto"/>
              <w:ind w:left="0"/>
              <w:jc w:val="left"/>
            </w:pPr>
            <w:r>
              <w:rPr>
                <w:rFonts w:eastAsia="等线" w:ascii="Arial" w:cs="Arial" w:hAnsi="Arial"/>
                <w:sz w:val="22"/>
              </w:rPr>
              <w:t>2、确定故障等级：具体故障定级参考《故障定级标准》。</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鉴权完成的服务请求单</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符合《EBG TAC鉴权指导书》中定义的鉴权标准与规范要求</w:t>
            </w:r>
          </w:p>
          <w:p>
            <w:pPr>
              <w:spacing w:before="120" w:after="120" w:line="288" w:lineRule="auto"/>
              <w:ind w:left="0"/>
              <w:jc w:val="left"/>
            </w:pPr>
            <w:r>
              <w:rPr>
                <w:rFonts w:eastAsia="等线" w:ascii="Arial" w:cs="Arial" w:hAnsi="Arial"/>
                <w:sz w:val="22"/>
              </w:rPr>
              <w:t>明确的客户问题类型定界</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明确责任人的服务请求单</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1、明确的接收处理人</w:t>
            </w:r>
          </w:p>
          <w:p>
            <w:pPr>
              <w:spacing w:before="120" w:after="120" w:line="288" w:lineRule="auto"/>
              <w:ind w:left="0"/>
              <w:jc w:val="left"/>
            </w:pPr>
            <w:r>
              <w:rPr>
                <w:rFonts w:eastAsia="等线" w:ascii="Arial" w:cs="Arial" w:hAnsi="Arial"/>
                <w:sz w:val="22"/>
              </w:rPr>
              <w:t>2、符合《EBG TAC派单指导书》中定义的派单规范要求</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增加基于鉴权结果派单分发的步骤</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 TAC派单指导书》</w:t>
            </w:r>
          </w:p>
        </w:tc>
        <w:tc>
          <w:tcPr>
            <w:tcW w:w="39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8" w:id="18"/>
      <w:r>
        <w:rPr>
          <w:rFonts w:eastAsia="等线" w:ascii="Arial" w:cs="Arial" w:hAnsi="Arial"/>
          <w:b w:val="true"/>
          <w:color w:val="245bdb"/>
          <w:sz w:val="30"/>
        </w:rPr>
        <w:t xml:space="preserve">5.3.5 </w:t>
      </w:r>
      <w:r>
        <w:rPr>
          <w:rFonts w:eastAsia="等线" w:ascii="Arial" w:cs="Arial" w:hAnsi="Arial"/>
          <w:b w:val="true"/>
          <w:sz w:val="30"/>
        </w:rPr>
        <w:t>主要岗位活动说明</w:t>
      </w:r>
      <w:bookmarkEnd w:id="18"/>
    </w:p>
    <w:p>
      <w:pPr>
        <w:spacing w:before="120" w:after="120" w:line="288" w:lineRule="auto"/>
        <w:ind w:left="0" w:firstLine="0"/>
        <w:jc w:val="left"/>
      </w:pPr>
      <w:r>
        <w:rPr>
          <w:rFonts w:eastAsia="等线" w:ascii="Arial" w:cs="Arial" w:hAnsi="Arial"/>
          <w:sz w:val="22"/>
        </w:rPr>
        <w:t>交付工程师活动说明</w:t>
      </w: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9" w:id="19"/>
      <w:r>
        <w:rPr>
          <w:rFonts w:eastAsia="等线" w:ascii="Arial" w:cs="Arial" w:hAnsi="Arial"/>
          <w:b w:val="true"/>
          <w:color w:val="245bdb"/>
          <w:sz w:val="32"/>
        </w:rPr>
        <w:t xml:space="preserve">5.4 </w:t>
      </w:r>
      <w:r>
        <w:rPr>
          <w:rFonts w:eastAsia="等线" w:ascii="Arial" w:cs="Arial" w:hAnsi="Arial"/>
          <w:b w:val="true"/>
          <w:sz w:val="32"/>
        </w:rPr>
        <w:t>服务请求处理</w:t>
      </w:r>
      <w:bookmarkEnd w:id="19"/>
    </w:p>
    <w:p>
      <w:pPr>
        <w:pStyle w:val="3"/>
        <w:spacing w:before="300" w:after="120" w:line="288" w:lineRule="auto"/>
        <w:ind w:left="0"/>
        <w:jc w:val="left"/>
        <w:outlineLvl w:val="2"/>
      </w:pPr>
      <w:bookmarkStart w:name="heading_20" w:id="20"/>
      <w:r>
        <w:rPr>
          <w:rFonts w:eastAsia="等线" w:ascii="Arial" w:cs="Arial" w:hAnsi="Arial"/>
          <w:b w:val="true"/>
          <w:color w:val="245bdb"/>
          <w:sz w:val="30"/>
        </w:rPr>
        <w:t xml:space="preserve">5.4.1 </w:t>
      </w:r>
      <w:r>
        <w:rPr>
          <w:rFonts w:eastAsia="等线" w:ascii="Arial" w:cs="Arial" w:hAnsi="Arial"/>
          <w:b w:val="true"/>
          <w:sz w:val="30"/>
        </w:rPr>
        <w:t>流程卡</w:t>
      </w:r>
      <w:bookmarkEnd w:id="20"/>
    </w:p>
    <w:p>
      <w:pPr>
        <w:spacing w:before="120" w:after="120" w:line="288" w:lineRule="auto"/>
        <w:ind w:left="0" w:firstLine="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1" w:id="21"/>
      <w:r>
        <w:rPr>
          <w:rFonts w:eastAsia="等线" w:ascii="Arial" w:cs="Arial" w:hAnsi="Arial"/>
          <w:b w:val="true"/>
          <w:color w:val="245bdb"/>
          <w:sz w:val="30"/>
        </w:rPr>
        <w:t xml:space="preserve">5.4.2 </w:t>
      </w:r>
      <w:r>
        <w:rPr>
          <w:rFonts w:eastAsia="等线" w:ascii="Arial" w:cs="Arial" w:hAnsi="Arial"/>
          <w:b w:val="true"/>
          <w:sz w:val="30"/>
        </w:rPr>
        <w:t>流程示意图</w:t>
      </w:r>
      <w:bookmarkEnd w:id="21"/>
    </w:p>
    <w:p>
      <w:pPr>
        <w:spacing w:before="120" w:after="120" w:line="288" w:lineRule="auto"/>
        <w:ind w:left="0"/>
        <w:jc w:val="center"/>
      </w:pPr>
      <w:r>
        <w:drawing>
          <wp:inline distT="0" distR="0" distB="0" distL="0">
            <wp:extent cx="5257800" cy="16097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1609725"/>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b w:val="true"/>
          <w:color w:val="245bdb"/>
          <w:sz w:val="30"/>
        </w:rPr>
        <w:t xml:space="preserve">5.4.3 </w:t>
      </w:r>
      <w:r>
        <w:rPr>
          <w:rFonts w:eastAsia="等线" w:ascii="Arial" w:cs="Arial" w:hAnsi="Arial"/>
          <w:b w:val="true"/>
          <w:sz w:val="30"/>
        </w:rPr>
        <w:t>流程泳道图</w:t>
      </w:r>
      <w:bookmarkEnd w:id="22"/>
    </w:p>
    <w:p>
      <w:pPr>
        <w:spacing w:before="120" w:after="120" w:line="288" w:lineRule="auto"/>
        <w:ind w:left="0"/>
        <w:jc w:val="center"/>
      </w:pPr>
      <w:r>
        <w:drawing>
          <wp:inline distT="0" distR="0" distB="0" distL="0">
            <wp:extent cx="5257800" cy="8667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866775"/>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等线" w:ascii="Arial" w:cs="Arial" w:hAnsi="Arial"/>
          <w:b w:val="true"/>
          <w:color w:val="245bdb"/>
          <w:sz w:val="30"/>
        </w:rPr>
        <w:t xml:space="preserve">5.4.4 </w:t>
      </w:r>
      <w:r>
        <w:rPr>
          <w:rFonts w:eastAsia="等线" w:ascii="Arial" w:cs="Arial" w:hAnsi="Arial"/>
          <w:b w:val="true"/>
          <w:sz w:val="30"/>
        </w:rPr>
        <w:t>流程活动说明</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
        <w:gridCol w:w="405"/>
        <w:gridCol w:w="315"/>
        <w:gridCol w:w="3150"/>
        <w:gridCol w:w="405"/>
        <w:gridCol w:w="405"/>
        <w:gridCol w:w="405"/>
        <w:gridCol w:w="405"/>
        <w:gridCol w:w="675"/>
        <w:gridCol w:w="405"/>
        <w:gridCol w:w="600"/>
        <w:gridCol w:w="495"/>
        <w:gridCol w:w="405"/>
      </w:tblGrid>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是否是KCP/KDP</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业务变化点说明（与之前的主要变点）</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M14.2.1</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信息收集</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w:t>
            </w:r>
          </w:p>
        </w:tc>
        <w:tc>
          <w:tcPr>
            <w:tcW w:w="315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交付工程师获取客户有效授权：必须在授权时限内，授权范围内使用处理客户网络数据，严禁将数据共享给非授权范围内的人员</w:t>
            </w:r>
          </w:p>
          <w:p>
            <w:pPr>
              <w:numPr>
                <w:numId w:val="2"/>
              </w:numPr>
              <w:spacing w:before="120" w:after="120" w:line="288" w:lineRule="auto"/>
              <w:ind w:left="0"/>
              <w:jc w:val="left"/>
            </w:pPr>
            <w:r>
              <w:rPr>
                <w:rFonts w:eastAsia="等线" w:ascii="Arial" w:cs="Arial" w:hAnsi="Arial"/>
                <w:sz w:val="22"/>
              </w:rPr>
              <w:t>根据故障描述，制定信息收集方案：包括信息收集的范围、信息收集的方法、信息收集的工具/脚本、信息收集的完成时间要求等（应优先使用工具收集）</w:t>
            </w:r>
          </w:p>
          <w:p>
            <w:pPr>
              <w:numPr>
                <w:numId w:val="3"/>
              </w:numPr>
              <w:spacing w:before="120" w:after="120" w:line="288" w:lineRule="auto"/>
              <w:ind w:left="0"/>
              <w:jc w:val="left"/>
            </w:pPr>
            <w:r>
              <w:rPr>
                <w:rFonts w:eastAsia="等线" w:ascii="Arial" w:cs="Arial" w:hAnsi="Arial"/>
                <w:sz w:val="22"/>
              </w:rPr>
              <w:t>开展远程或现场信息收集的活动：</w:t>
            </w:r>
          </w:p>
          <w:p>
            <w:pPr>
              <w:spacing w:before="120" w:after="120" w:line="288" w:lineRule="auto"/>
              <w:ind w:left="0"/>
              <w:jc w:val="left"/>
            </w:pPr>
            <w:r>
              <w:rPr>
                <w:rFonts w:eastAsia="等线" w:ascii="Arial" w:cs="Arial" w:hAnsi="Arial"/>
                <w:sz w:val="22"/>
              </w:rPr>
              <w:t>a.现场收集：由区域经理担当一线处理责任人，协调一线工程师收集网管信息和故障信息等任务。（客户自行收集信息并发送给交付工程师，视为客户已授权）</w:t>
            </w:r>
          </w:p>
          <w:p>
            <w:pPr>
              <w:spacing w:before="120" w:after="120" w:line="288" w:lineRule="auto"/>
              <w:ind w:left="0"/>
              <w:jc w:val="left"/>
            </w:pPr>
            <w:r>
              <w:rPr>
                <w:rFonts w:eastAsia="等线" w:ascii="Arial" w:cs="Arial" w:hAnsi="Arial"/>
                <w:sz w:val="22"/>
              </w:rPr>
              <w:t>b.远程收集：远程接入人必须与授权范围一致，使用客户授权的账号接入且（账号和密码）需要通过单独渠道传递管理。接入客户网络的工作完成后，交付工程师通知客户关闭设备远程环境、更改接入密码</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故障处理工单</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填写规范符合故障处理工单信息收集填写规范要求</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信息收集结果</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一次就将信息收集完整，结果符合《故障信息一次信息收集作业指导书》中的记录要求</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1、难点：故障不复现导致故障日志难收集；</w:t>
            </w:r>
          </w:p>
          <w:p>
            <w:pPr>
              <w:spacing w:before="120" w:after="120" w:line="288" w:lineRule="auto"/>
              <w:ind w:left="0"/>
              <w:jc w:val="left"/>
            </w:pPr>
            <w:r>
              <w:rPr>
                <w:rFonts w:eastAsia="等线" w:ascii="Arial" w:cs="Arial" w:hAnsi="Arial"/>
                <w:sz w:val="22"/>
              </w:rPr>
              <w:t>2、难点：产品故障信息不全，没有收集到有效信息；</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《故障信息一次信息收集作业指导书》</w:t>
            </w:r>
          </w:p>
        </w:tc>
        <w:tc>
          <w:tcPr>
            <w:tcW w:w="40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M14.2.1</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问题定界</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w:t>
            </w:r>
          </w:p>
        </w:tc>
        <w:tc>
          <w:tcPr>
            <w:tcW w:w="315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业务影响/损害界定：需要快速界定清楚问题造成的业务层面影响，哪些人或者哪些业务类型以及影响的范围、时长；</w:t>
            </w:r>
          </w:p>
          <w:p>
            <w:pPr>
              <w:numPr>
                <w:numId w:val="5"/>
              </w:numPr>
              <w:spacing w:before="120" w:after="120" w:line="288" w:lineRule="auto"/>
              <w:ind w:left="0"/>
              <w:jc w:val="left"/>
            </w:pPr>
            <w:r>
              <w:rPr>
                <w:rFonts w:eastAsia="等线" w:ascii="Arial" w:cs="Arial" w:hAnsi="Arial"/>
                <w:sz w:val="22"/>
              </w:rPr>
              <w:t>客户声音/诉求界定：重点识别客户情绪、客户声音以及客户问题解决诉求的界定；</w:t>
            </w:r>
          </w:p>
          <w:p>
            <w:pPr>
              <w:numPr>
                <w:numId w:val="6"/>
              </w:numPr>
              <w:spacing w:before="120" w:after="120" w:line="288" w:lineRule="auto"/>
              <w:ind w:left="0"/>
              <w:jc w:val="left"/>
            </w:pPr>
            <w:r>
              <w:rPr>
                <w:rFonts w:eastAsia="等线" w:ascii="Arial" w:cs="Arial" w:hAnsi="Arial"/>
                <w:sz w:val="22"/>
              </w:rPr>
              <w:t>问题发生位置界定：完成最可能问题发生的初步定界（网络位置、产品等），明确第一道的排查目标与方向；</w:t>
            </w:r>
          </w:p>
          <w:p>
            <w:pPr>
              <w:numPr>
                <w:numId w:val="7"/>
              </w:numPr>
              <w:spacing w:before="120" w:after="120" w:line="288" w:lineRule="auto"/>
              <w:ind w:left="0"/>
              <w:jc w:val="left"/>
            </w:pPr>
            <w:r>
              <w:rPr>
                <w:rFonts w:eastAsia="等线" w:ascii="Arial" w:cs="Arial" w:hAnsi="Arial"/>
                <w:sz w:val="22"/>
              </w:rPr>
              <w:t>故障潜在风险界定：评估故障二发、多发的潜在风险，为制定全面的业务恢复及彻底解决方案提供输入</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信息收集结果、客户互动结果、</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填写规范符合csm记录标准模版中基础信息、故障背景规范要求</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问题初步定界结论</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定界结论中所圈定的排查目标准确（与业务恢复目标对象一直）、风险评估充分</w:t>
            </w:r>
          </w:p>
        </w:tc>
        <w:tc>
          <w:tcPr>
            <w:tcW w:w="40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《紧急恢复指导书》</w:t>
            </w:r>
          </w:p>
        </w:tc>
        <w:tc>
          <w:tcPr>
            <w:tcW w:w="40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M14.2.3</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业务恢复</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交付工程师/产品工程师</w:t>
            </w:r>
          </w:p>
        </w:tc>
        <w:tc>
          <w:tcPr>
            <w:tcW w:w="315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z w:val="22"/>
              </w:rPr>
              <w:t>分析及制定恢复方案：根据故障现象以及收集到的故障信息，匹配相关案例、预警、产品文档等，进行分析，并制定恢复方案（恢复指令清晰简洁，说明业务风险影响、预计的实施时长）</w:t>
            </w:r>
          </w:p>
          <w:p>
            <w:pPr>
              <w:numPr>
                <w:numId w:val="9"/>
              </w:numPr>
              <w:spacing w:before="120" w:after="120" w:line="288" w:lineRule="auto"/>
              <w:ind w:left="0"/>
              <w:jc w:val="left"/>
            </w:pPr>
            <w:r>
              <w:rPr>
                <w:rFonts w:eastAsia="等线" w:ascii="Arial" w:cs="Arial" w:hAnsi="Arial"/>
                <w:sz w:val="22"/>
              </w:rPr>
              <w:t>评估及沟通恢复方案：交付工程师应传递给客户并与客户沟通确认，确保客户正确理解,交付工程师则与客户进一步确认实施模式（远程/现场）、操作时间、人员安排、双方协同要求等；</w:t>
            </w:r>
          </w:p>
          <w:p>
            <w:pPr>
              <w:numPr>
                <w:numId w:val="10"/>
              </w:numPr>
              <w:spacing w:before="120" w:after="120" w:line="288" w:lineRule="auto"/>
              <w:ind w:left="0"/>
              <w:jc w:val="left"/>
            </w:pPr>
            <w:r>
              <w:rPr>
                <w:rFonts w:eastAsia="等线" w:ascii="Arial" w:cs="Arial" w:hAnsi="Arial"/>
                <w:sz w:val="22"/>
              </w:rPr>
              <w:t>交付工程师负责现场实施恢复方案：方案实施人员需按照紧急恢复方案及客户设备操作要求实施恢复方案，严格按照既定的恢复步骤实施恢复操作。（操作日志要记录，重要数据需备份）</w:t>
            </w:r>
          </w:p>
          <w:p>
            <w:pPr>
              <w:numPr>
                <w:numId w:val="11"/>
              </w:numPr>
              <w:spacing w:before="120" w:after="120" w:line="288" w:lineRule="auto"/>
              <w:ind w:left="0"/>
              <w:jc w:val="left"/>
            </w:pPr>
            <w:r>
              <w:rPr>
                <w:rFonts w:eastAsia="等线" w:ascii="Arial" w:cs="Arial" w:hAnsi="Arial"/>
                <w:sz w:val="22"/>
              </w:rPr>
              <w:t>方案实施完成后，方案实施人员对实施结果进行分析和确认，通过技术手段判断客户网络或设备功能恢复后，第一时间获取客户对恢复的意见（主要包括恢复的表现及恢复时间），是否恢复以客户意见为准。</w:t>
            </w:r>
          </w:p>
          <w:p>
            <w:pPr>
              <w:numPr>
                <w:numId w:val="12"/>
              </w:numPr>
              <w:spacing w:before="120" w:after="120" w:line="288" w:lineRule="auto"/>
              <w:ind w:left="0"/>
              <w:jc w:val="left"/>
            </w:pPr>
            <w:r>
              <w:rPr>
                <w:rFonts w:eastAsia="等线" w:ascii="Arial" w:cs="Arial" w:hAnsi="Arial"/>
                <w:sz w:val="22"/>
              </w:rPr>
              <w:t>以上任意步骤超过交付工程师能力范畴，例如如恢复方案涉及底层操作、用户如存在沟通障碍等等、可以申请产品工程师远程协助，按需安排研发应急工程师远程保障，以确保实施准确性。</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信息收集结果、问题定界结果</w:t>
            </w:r>
          </w:p>
        </w:tc>
        <w:tc>
          <w:tcPr>
            <w:tcW w:w="405" w:type="dxa"/>
            <w:tcMar>
              <w:top w:type="dxa" w:w="60"/>
              <w:left w:type="dxa" w:w="120"/>
              <w:bottom w:type="dxa" w:w="30"/>
              <w:right w:type="dxa" w:w="120"/>
            </w:tcMar>
          </w:tcPr>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实施恢复方案的结果</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业务恢复过程与结果与恢复方案准确匹配</w:t>
            </w:r>
          </w:p>
        </w:tc>
        <w:tc>
          <w:tcPr>
            <w:tcW w:w="40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明确业务恢复为故障处理过程核心动作之一，优先级最高</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《紧急恢复指导书》</w:t>
            </w:r>
          </w:p>
        </w:tc>
        <w:tc>
          <w:tcPr>
            <w:tcW w:w="40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M14.2.4</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根因定位</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产品工程师/研发工程师</w:t>
            </w:r>
          </w:p>
        </w:tc>
        <w:tc>
          <w:tcPr>
            <w:tcW w:w="3150"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交付工程师开展问题排查（SLA时效未超时）：根据基本故障信息及收集到的信息，结合个人经验及技术资料、技术案例和预警通告等分析定位</w:t>
            </w:r>
          </w:p>
          <w:p>
            <w:pPr>
              <w:numPr>
                <w:numId w:val="14"/>
              </w:numPr>
              <w:spacing w:before="120" w:after="120" w:line="288" w:lineRule="auto"/>
              <w:ind w:left="0"/>
              <w:jc w:val="left"/>
            </w:pPr>
            <w:r>
              <w:rPr>
                <w:rFonts w:eastAsia="等线" w:ascii="Arial" w:cs="Arial" w:hAnsi="Arial"/>
                <w:sz w:val="22"/>
              </w:rPr>
              <w:t>交付工程师请求产品工程师介入排查（SLA超时）：一线工程师提出升级协助，并按照《故障升级信息反馈模板》进行升级信息记录，主要包含故障关键信息，已经做过的分析操作，分析结果，业务影响变化等</w:t>
            </w:r>
          </w:p>
          <w:p>
            <w:pPr>
              <w:numPr>
                <w:numId w:val="15"/>
              </w:numPr>
              <w:spacing w:before="120" w:after="120" w:line="288" w:lineRule="auto"/>
              <w:ind w:left="0"/>
              <w:jc w:val="left"/>
            </w:pPr>
            <w:r>
              <w:rPr>
                <w:rFonts w:eastAsia="等线" w:ascii="Arial" w:cs="Arial" w:hAnsi="Arial"/>
                <w:sz w:val="22"/>
              </w:rPr>
              <w:t>产品工程师介入排查（SLA未超时）：根据一交付提交的信息（信息不充分时需要一线协助补充提供），结合技术支持中心知识库、自身经验等对问题开展排查，定界问题；</w:t>
            </w:r>
          </w:p>
          <w:p>
            <w:pPr>
              <w:numPr>
                <w:numId w:val="16"/>
              </w:numPr>
              <w:spacing w:before="120" w:after="120" w:line="288" w:lineRule="auto"/>
              <w:ind w:left="0"/>
              <w:jc w:val="left"/>
            </w:pPr>
            <w:r>
              <w:rPr>
                <w:rFonts w:eastAsia="等线" w:ascii="Arial" w:cs="Arial" w:hAnsi="Arial"/>
                <w:sz w:val="22"/>
              </w:rPr>
              <w:t>产品工程师请求研发工程师介入排查（SLA超时）：二线工程师确保明确具体定界问题，且配置问题/案例/预警/常规SOP已充分排查后，提交品控单升级研发协助分析</w:t>
            </w:r>
          </w:p>
          <w:p>
            <w:pPr>
              <w:numPr>
                <w:numId w:val="17"/>
              </w:numPr>
              <w:spacing w:before="120" w:after="120" w:line="288" w:lineRule="auto"/>
              <w:ind w:left="0"/>
              <w:jc w:val="left"/>
            </w:pPr>
            <w:r>
              <w:rPr>
                <w:rFonts w:eastAsia="等线" w:ascii="Arial" w:cs="Arial" w:hAnsi="Arial"/>
                <w:sz w:val="22"/>
              </w:rPr>
              <w:t>研发接口人在业务要求的时间内接纳交付工程师升级的故障处理请求，并根据故障信息定界相关模块并指定研发故障处理人</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信息收集结果</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信息收集完整，结果符合《故障信息一次信息收集作业指导书》中的记录要求</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根因分析与定位结论</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根因定位结论清晰具体，可以为下一步业务恢复提供明确的解决思路</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难点：涉及三方设备、软件等排查时，效率低下</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产品线故障案例集、预警通告等</w:t>
            </w:r>
          </w:p>
        </w:tc>
        <w:tc>
          <w:tcPr>
            <w:tcW w:w="40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M14.2.5</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提供方案</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产品工程师/研发工程师</w:t>
            </w:r>
          </w:p>
        </w:tc>
        <w:tc>
          <w:tcPr>
            <w:tcW w:w="3150" w:type="dxa"/>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sz w:val="22"/>
              </w:rPr>
              <w:t>根据故障分析定位的结果及根因，制定解决方案：</w:t>
            </w:r>
          </w:p>
          <w:p>
            <w:pPr>
              <w:numPr>
                <w:numId w:val="19"/>
              </w:numPr>
              <w:spacing w:before="120" w:after="120" w:line="288" w:lineRule="auto"/>
              <w:ind w:left="0"/>
              <w:jc w:val="left"/>
            </w:pPr>
            <w:r>
              <w:rPr>
                <w:rFonts w:eastAsia="等线" w:ascii="Arial" w:cs="Arial" w:hAnsi="Arial"/>
                <w:sz w:val="22"/>
              </w:rPr>
              <w:t>必要时协助完成内部验证测试，确保解决方案无误；</w:t>
            </w:r>
          </w:p>
          <w:p>
            <w:pPr>
              <w:numPr>
                <w:numId w:val="20"/>
              </w:numPr>
              <w:spacing w:before="120" w:after="120" w:line="288" w:lineRule="auto"/>
              <w:ind w:left="0"/>
              <w:jc w:val="left"/>
            </w:pPr>
            <w:r>
              <w:rPr>
                <w:rFonts w:eastAsia="等线" w:ascii="Arial" w:cs="Arial" w:hAnsi="Arial"/>
                <w:sz w:val="22"/>
              </w:rPr>
              <w:t>根据客户要求整理制定《故障处理报告》：解决方案及根因分析都需记录在故障处理单上，报告内容应主要包括问题分析、根本原因、临时解决措施（可选）最终解决措施问等内容</w:t>
            </w:r>
          </w:p>
          <w:p>
            <w:pPr>
              <w:numPr>
                <w:numId w:val="21"/>
              </w:numPr>
              <w:spacing w:before="120" w:after="120" w:line="288" w:lineRule="auto"/>
              <w:ind w:left="0"/>
              <w:jc w:val="left"/>
            </w:pPr>
            <w:r>
              <w:rPr>
                <w:rFonts w:eastAsia="等线" w:ascii="Arial" w:cs="Arial" w:hAnsi="Arial"/>
                <w:sz w:val="22"/>
              </w:rPr>
              <w:t>上述内容根据服务请求的交付标准，要求在SLA内制定解决方案。若在提供解决方案之前，需要通过实施临时方案减轻或消除故障对业务的影响，保障系统的稳定运行，则先提供规避方案。</w:t>
            </w:r>
          </w:p>
          <w:p>
            <w:pPr>
              <w:numPr>
                <w:numId w:val="22"/>
              </w:numPr>
              <w:spacing w:before="120" w:after="120" w:line="288" w:lineRule="auto"/>
              <w:ind w:left="0"/>
              <w:jc w:val="left"/>
            </w:pPr>
            <w:r>
              <w:rPr>
                <w:rFonts w:eastAsia="等线" w:ascii="Arial" w:cs="Arial" w:hAnsi="Arial"/>
                <w:sz w:val="22"/>
              </w:rPr>
              <w:t>与交付工程师进行解决方案讲解沟通，确保内部就解决方案相关达成共识；</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分析定位结论</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根因定位结论清晰具体（例如具体到功能模块等），可以为下一步业务恢复提供明确的解决思路</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规避方案、解决方案</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规避方案、解决方案步骤清晰，与一线共识可实际解决问题且可在用户现场实际落地；</w:t>
            </w:r>
          </w:p>
        </w:tc>
        <w:tc>
          <w:tcPr>
            <w:tcW w:w="40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《故障处理报告模版》</w:t>
            </w:r>
          </w:p>
        </w:tc>
        <w:tc>
          <w:tcPr>
            <w:tcW w:w="40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M14.2.6</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实施方案</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w:t>
            </w:r>
          </w:p>
        </w:tc>
        <w:tc>
          <w:tcPr>
            <w:tcW w:w="3150" w:type="dxa"/>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sz w:val="22"/>
              </w:rPr>
              <w:t>交付工程师按客户要求的方式传递解决方案，并及时告知客户。</w:t>
            </w:r>
          </w:p>
          <w:p>
            <w:pPr>
              <w:numPr>
                <w:numId w:val="24"/>
              </w:numPr>
              <w:spacing w:before="120" w:after="120" w:line="288" w:lineRule="auto"/>
              <w:ind w:left="0"/>
              <w:jc w:val="left"/>
            </w:pPr>
            <w:r>
              <w:rPr>
                <w:rFonts w:eastAsia="等线" w:ascii="Arial" w:cs="Arial" w:hAnsi="Arial"/>
                <w:sz w:val="22"/>
              </w:rPr>
              <w:t>交付工程师根据客户的需要进行方案讲解及沟通，确保客户正确理解并同意授权实施方案。</w:t>
            </w:r>
          </w:p>
          <w:p>
            <w:pPr>
              <w:numPr>
                <w:numId w:val="25"/>
              </w:numPr>
              <w:spacing w:before="120" w:after="120" w:line="288" w:lineRule="auto"/>
              <w:ind w:left="0"/>
              <w:jc w:val="left"/>
            </w:pPr>
            <w:r>
              <w:rPr>
                <w:rFonts w:eastAsia="等线" w:ascii="Arial" w:cs="Arial" w:hAnsi="Arial"/>
                <w:sz w:val="22"/>
              </w:rPr>
              <w:t>如果需要锐捷通过在客户现网上实施解决方案来验证方案有效性，则交付工程师要确定方案执行人员。</w:t>
            </w:r>
          </w:p>
          <w:p>
            <w:pPr>
              <w:numPr>
                <w:numId w:val="26"/>
              </w:numPr>
              <w:spacing w:before="120" w:after="120" w:line="288" w:lineRule="auto"/>
              <w:ind w:left="0"/>
              <w:jc w:val="left"/>
            </w:pPr>
            <w:r>
              <w:rPr>
                <w:rFonts w:eastAsia="等线" w:ascii="Arial" w:cs="Arial" w:hAnsi="Arial"/>
                <w:sz w:val="22"/>
              </w:rPr>
              <w:t>若交付工程师评估需要指派现场工程师担任方案执行人员，则按照《400派单操作指导书》派单给到方案执行人员。交付工程师需跟踪记录验证结果，若客户需要故障观察期，需在观察期内继续跟进故障。</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规避方案、解决方案</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规避方案、解决方案符合《故障报告》相关模版标准，步骤清晰齐全</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方案实施结果</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方案实施结果与规避方案、解决方案结果相匹配，客户问题解决，客户满意</w:t>
            </w:r>
          </w:p>
        </w:tc>
        <w:tc>
          <w:tcPr>
            <w:tcW w:w="40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《网络变更流程》</w:t>
            </w:r>
          </w:p>
        </w:tc>
        <w:tc>
          <w:tcPr>
            <w:tcW w:w="40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4" w:id="24"/>
      <w:r>
        <w:rPr>
          <w:rFonts w:eastAsia="等线" w:ascii="Arial" w:cs="Arial" w:hAnsi="Arial"/>
          <w:b w:val="true"/>
          <w:color w:val="245bdb"/>
          <w:sz w:val="30"/>
        </w:rPr>
        <w:t xml:space="preserve">5.4.5 </w:t>
      </w:r>
      <w:r>
        <w:rPr>
          <w:rFonts w:eastAsia="等线" w:ascii="Arial" w:cs="Arial" w:hAnsi="Arial"/>
          <w:b w:val="true"/>
          <w:sz w:val="30"/>
        </w:rPr>
        <w:t>主要岗位活动说明</w:t>
      </w:r>
      <w:bookmarkEnd w:id="24"/>
    </w:p>
    <w:p>
      <w:pPr>
        <w:spacing w:before="120" w:after="120" w:line="288" w:lineRule="auto"/>
        <w:ind w:left="0" w:firstLine="0"/>
        <w:jc w:val="left"/>
      </w:pPr>
      <w:r>
        <w:rPr>
          <w:rFonts w:eastAsia="等线" w:ascii="Arial" w:cs="Arial" w:hAnsi="Arial"/>
          <w:sz w:val="22"/>
        </w:rPr>
        <w:t>交付工程师岗位说明</w:t>
      </w:r>
    </w:p>
    <w:p>
      <w:pPr>
        <w:spacing w:before="120" w:after="120" w:line="288" w:lineRule="auto"/>
        <w:ind w:left="0" w:firstLine="0"/>
        <w:jc w:val="center"/>
      </w:pPr>
      <w:r>
        <w:rPr>
          <w:rFonts w:eastAsia="等线" w:ascii="Arial" w:cs="Arial" w:hAnsi="Arial"/>
          <w:b w:val="true"/>
          <w:sz w:val="22"/>
        </w:rPr>
        <w:t>点击图片可查看完整电子表格</w:t>
      </w:r>
    </w:p>
    <w:p>
      <w:pPr>
        <w:spacing w:before="120" w:after="120" w:line="288" w:lineRule="auto"/>
        <w:ind w:left="0" w:firstLine="0"/>
        <w:jc w:val="left"/>
      </w:pPr>
      <w:r>
        <w:rPr>
          <w:rFonts w:eastAsia="等线" w:ascii="Arial" w:cs="Arial" w:hAnsi="Arial"/>
          <w:sz w:val="22"/>
        </w:rPr>
        <w:t>产品工程师岗位说明</w:t>
      </w:r>
    </w:p>
    <w:p>
      <w:pPr>
        <w:spacing w:before="120" w:after="120" w:line="288" w:lineRule="auto"/>
        <w:ind w:left="0" w:firstLine="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5" w:id="25"/>
      <w:r>
        <w:rPr>
          <w:rFonts w:eastAsia="等线" w:ascii="Arial" w:cs="Arial" w:hAnsi="Arial"/>
          <w:b w:val="true"/>
          <w:color w:val="245bdb"/>
          <w:sz w:val="30"/>
        </w:rPr>
        <w:t xml:space="preserve">5.4.6 </w:t>
      </w:r>
      <w:r>
        <w:rPr>
          <w:rFonts w:eastAsia="等线" w:ascii="Arial" w:cs="Arial" w:hAnsi="Arial"/>
          <w:b w:val="true"/>
          <w:sz w:val="30"/>
        </w:rPr>
        <w:t xml:space="preserve"> L5级流程文件</w:t>
      </w:r>
      <w:bookmarkEnd w:id="25"/>
    </w:p>
    <w:p>
      <w:pPr>
        <w:numPr>
          <w:numId w:val="27"/>
        </w:numPr>
        <w:spacing w:before="120" w:after="120" w:line="288" w:lineRule="auto"/>
        <w:ind w:left="0"/>
        <w:jc w:val="left"/>
      </w:pPr>
      <w:r>
        <w:rPr>
          <w:rFonts w:eastAsia="等线" w:ascii="Arial" w:cs="Arial" w:hAnsi="Arial"/>
          <w:sz w:val="22"/>
        </w:rPr>
        <w:t>故障处理程序：</w:t>
      </w:r>
      <w:hyperlink r:id="rId12">
        <w:r>
          <w:rPr>
            <w:rFonts w:eastAsia="等线" w:ascii="Arial" w:cs="Arial" w:hAnsi="Arial"/>
            <w:color w:val="3370ff"/>
            <w:sz w:val="22"/>
          </w:rPr>
          <w:t>PM05MIP04-V3.0 故障处理流程.docx</w:t>
        </w:r>
      </w:hyperlink>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技术咨询处理流程：待补充</w:t>
      </w:r>
    </w:p>
    <w:p>
      <w:pPr>
        <w:numPr>
          <w:numId w:val="29"/>
        </w:numPr>
        <w:spacing w:before="120" w:after="120" w:line="288" w:lineRule="auto"/>
        <w:ind w:left="0"/>
        <w:jc w:val="left"/>
      </w:pPr>
      <w:r>
        <w:rPr>
          <w:rFonts w:eastAsia="等线" w:ascii="Arial" w:cs="Arial" w:hAnsi="Arial"/>
          <w:sz w:val="22"/>
        </w:rPr>
        <w:t>非技术咨询处理流程：</w:t>
      </w:r>
      <w:hyperlink r:id="rId13">
        <w:r>
          <w:rPr>
            <w:rFonts w:eastAsia="等线" w:ascii="Arial" w:cs="Arial" w:hAnsi="Arial"/>
            <w:color w:val="3370ff"/>
            <w:sz w:val="22"/>
          </w:rPr>
          <w:t>PM05MIP21-V1.0 非技术问题处理流程.doc</w:t>
        </w:r>
      </w:hyperlink>
    </w:p>
    <w:p>
      <w:pPr>
        <w:numPr>
          <w:numId w:val="30"/>
        </w:numPr>
        <w:spacing w:before="120" w:after="120" w:line="288" w:lineRule="auto"/>
        <w:ind w:left="0"/>
        <w:jc w:val="left"/>
      </w:pPr>
      <w:r>
        <w:rPr>
          <w:rFonts w:eastAsia="等线" w:ascii="Arial" w:cs="Arial" w:hAnsi="Arial"/>
          <w:sz w:val="22"/>
        </w:rPr>
        <w:t>客户投诉处理流程：</w:t>
      </w:r>
      <w:hyperlink r:id="rId14">
        <w:r>
          <w:rPr>
            <w:rFonts w:eastAsia="等线" w:ascii="Arial" w:cs="Arial" w:hAnsi="Arial"/>
            <w:color w:val="3370ff"/>
            <w:sz w:val="22"/>
          </w:rPr>
          <w:t>PM05SDM03-V2.0 客户投诉处理流程.docx</w:t>
        </w:r>
      </w:hyperlink>
    </w:p>
    <w:p>
      <w:pPr>
        <w:numPr>
          <w:numId w:val="31"/>
        </w:numPr>
        <w:spacing w:before="120" w:after="120" w:line="288" w:lineRule="auto"/>
        <w:ind w:left="0"/>
        <w:jc w:val="left"/>
      </w:pPr>
      <w:r>
        <w:rPr>
          <w:rFonts w:eastAsia="等线" w:ascii="Arial" w:cs="Arial" w:hAnsi="Arial"/>
          <w:sz w:val="22"/>
        </w:rPr>
        <w:t>SOS紧急恢复流程：</w:t>
      </w:r>
      <w:hyperlink r:id="rId15">
        <w:r>
          <w:rPr>
            <w:rFonts w:eastAsia="等线" w:ascii="Arial" w:cs="Arial" w:hAnsi="Arial"/>
            <w:color w:val="3370ff"/>
            <w:sz w:val="22"/>
          </w:rPr>
          <w:t>PM05MIP10-V2.0 紧急恢复流程.docx</w:t>
        </w:r>
      </w:hyperlink>
    </w:p>
    <w:p>
      <w:pPr>
        <w:numPr>
          <w:numId w:val="32"/>
        </w:numPr>
        <w:spacing w:before="120" w:after="120" w:line="288" w:lineRule="auto"/>
        <w:ind w:left="0"/>
        <w:jc w:val="left"/>
      </w:pPr>
      <w:r>
        <w:rPr>
          <w:rFonts w:eastAsia="等线" w:ascii="Arial" w:cs="Arial" w:hAnsi="Arial"/>
          <w:sz w:val="22"/>
        </w:rPr>
        <w:t>管理升级流程：</w:t>
      </w:r>
      <w:hyperlink r:id="rId16">
        <w:r>
          <w:rPr>
            <w:rFonts w:eastAsia="等线" w:ascii="Arial" w:cs="Arial" w:hAnsi="Arial"/>
            <w:color w:val="3370ff"/>
            <w:sz w:val="22"/>
          </w:rPr>
          <w:t>PM05MIP05S01-V1.0 技术服务请求管理升级流程.doc</w:t>
        </w:r>
      </w:hyperlink>
    </w:p>
    <w:p>
      <w:pPr>
        <w:pStyle w:val="2"/>
        <w:spacing w:before="320" w:after="120" w:line="288" w:lineRule="auto"/>
        <w:ind w:left="0"/>
        <w:jc w:val="left"/>
        <w:outlineLvl w:val="1"/>
      </w:pPr>
      <w:bookmarkStart w:name="heading_26" w:id="26"/>
      <w:r>
        <w:rPr>
          <w:rFonts w:eastAsia="等线" w:ascii="Arial" w:cs="Arial" w:hAnsi="Arial"/>
          <w:b w:val="true"/>
          <w:color w:val="245bdb"/>
          <w:sz w:val="32"/>
        </w:rPr>
        <w:t xml:space="preserve">5.5 </w:t>
      </w:r>
      <w:r>
        <w:rPr>
          <w:rFonts w:eastAsia="等线" w:ascii="Arial" w:cs="Arial" w:hAnsi="Arial"/>
          <w:b w:val="true"/>
          <w:sz w:val="32"/>
        </w:rPr>
        <w:t>服务请求关闭</w:t>
      </w:r>
      <w:bookmarkEnd w:id="26"/>
    </w:p>
    <w:p>
      <w:pPr>
        <w:pStyle w:val="3"/>
        <w:spacing w:before="300" w:after="120" w:line="288" w:lineRule="auto"/>
        <w:ind w:left="0"/>
        <w:jc w:val="left"/>
        <w:outlineLvl w:val="2"/>
      </w:pPr>
      <w:bookmarkStart w:name="heading_27" w:id="27"/>
      <w:r>
        <w:rPr>
          <w:rFonts w:eastAsia="等线" w:ascii="Arial" w:cs="Arial" w:hAnsi="Arial"/>
          <w:b w:val="true"/>
          <w:color w:val="245bdb"/>
          <w:sz w:val="30"/>
        </w:rPr>
        <w:t xml:space="preserve">5.5.1 </w:t>
      </w:r>
      <w:r>
        <w:rPr>
          <w:rFonts w:eastAsia="等线" w:ascii="Arial" w:cs="Arial" w:hAnsi="Arial"/>
          <w:b w:val="true"/>
          <w:sz w:val="30"/>
        </w:rPr>
        <w:t>流程卡</w:t>
      </w:r>
      <w:bookmarkEnd w:id="27"/>
    </w:p>
    <w:p>
      <w:pPr>
        <w:spacing w:before="120" w:after="120" w:line="288" w:lineRule="auto"/>
        <w:ind w:left="0" w:firstLine="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8" w:id="28"/>
      <w:r>
        <w:rPr>
          <w:rFonts w:eastAsia="等线" w:ascii="Arial" w:cs="Arial" w:hAnsi="Arial"/>
          <w:b w:val="true"/>
          <w:color w:val="245bdb"/>
          <w:sz w:val="30"/>
        </w:rPr>
        <w:t xml:space="preserve">5.5.2 </w:t>
      </w:r>
      <w:r>
        <w:rPr>
          <w:rFonts w:eastAsia="等线" w:ascii="Arial" w:cs="Arial" w:hAnsi="Arial"/>
          <w:b w:val="true"/>
          <w:sz w:val="30"/>
        </w:rPr>
        <w:t>流程示意图</w:t>
      </w:r>
      <w:bookmarkEnd w:id="28"/>
    </w:p>
    <w:p>
      <w:pPr>
        <w:spacing w:before="120" w:after="120" w:line="288" w:lineRule="auto"/>
        <w:ind w:left="0"/>
        <w:jc w:val="center"/>
      </w:pPr>
      <w:r>
        <w:drawing>
          <wp:inline distT="0" distR="0" distB="0" distL="0">
            <wp:extent cx="5257800" cy="17049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7"/>
                    <a:stretch>
                      <a:fillRect/>
                    </a:stretch>
                  </pic:blipFill>
                  <pic:spPr>
                    <a:xfrm>
                      <a:off x="0" y="0"/>
                      <a:ext cx="5257800" cy="1704975"/>
                    </a:xfrm>
                    <a:prstGeom prst="rect">
                      <a:avLst/>
                    </a:prstGeom>
                  </pic:spPr>
                </pic:pic>
              </a:graphicData>
            </a:graphic>
          </wp:inline>
        </w:drawing>
      </w:r>
    </w:p>
    <w:p>
      <w:pPr>
        <w:pStyle w:val="3"/>
        <w:spacing w:before="300" w:after="120" w:line="288" w:lineRule="auto"/>
        <w:ind w:left="0"/>
        <w:jc w:val="left"/>
        <w:outlineLvl w:val="2"/>
      </w:pPr>
      <w:bookmarkStart w:name="heading_29" w:id="29"/>
      <w:r>
        <w:rPr>
          <w:rFonts w:eastAsia="等线" w:ascii="Arial" w:cs="Arial" w:hAnsi="Arial"/>
          <w:b w:val="true"/>
          <w:color w:val="245bdb"/>
          <w:sz w:val="30"/>
        </w:rPr>
        <w:t xml:space="preserve">5.5.3 </w:t>
      </w:r>
      <w:r>
        <w:rPr>
          <w:rFonts w:eastAsia="等线" w:ascii="Arial" w:cs="Arial" w:hAnsi="Arial"/>
          <w:b w:val="true"/>
          <w:sz w:val="30"/>
        </w:rPr>
        <w:t>流程泳道图</w:t>
      </w:r>
      <w:bookmarkEnd w:id="29"/>
    </w:p>
    <w:p>
      <w:pPr>
        <w:spacing w:before="120" w:after="120" w:line="288" w:lineRule="auto"/>
        <w:ind w:left="0"/>
        <w:jc w:val="center"/>
      </w:pPr>
      <w:r>
        <w:drawing>
          <wp:inline distT="0" distR="0" distB="0" distL="0">
            <wp:extent cx="5257800" cy="12573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8"/>
                    <a:stretch>
                      <a:fillRect/>
                    </a:stretch>
                  </pic:blipFill>
                  <pic:spPr>
                    <a:xfrm>
                      <a:off x="0" y="0"/>
                      <a:ext cx="5257800" cy="1257300"/>
                    </a:xfrm>
                    <a:prstGeom prst="rect">
                      <a:avLst/>
                    </a:prstGeom>
                  </pic:spPr>
                </pic:pic>
              </a:graphicData>
            </a:graphic>
          </wp:inline>
        </w:drawing>
      </w:r>
    </w:p>
    <w:p>
      <w:pPr>
        <w:pStyle w:val="3"/>
        <w:spacing w:before="300" w:after="120" w:line="288" w:lineRule="auto"/>
        <w:ind w:left="0"/>
        <w:jc w:val="left"/>
        <w:outlineLvl w:val="2"/>
      </w:pPr>
      <w:bookmarkStart w:name="heading_30" w:id="30"/>
      <w:r>
        <w:rPr>
          <w:rFonts w:eastAsia="等线" w:ascii="Arial" w:cs="Arial" w:hAnsi="Arial"/>
          <w:b w:val="true"/>
          <w:color w:val="245bdb"/>
          <w:sz w:val="30"/>
        </w:rPr>
        <w:t xml:space="preserve">5.5.4 </w:t>
      </w:r>
      <w:r>
        <w:rPr>
          <w:rFonts w:eastAsia="等线" w:ascii="Arial" w:cs="Arial" w:hAnsi="Arial"/>
          <w:b w:val="true"/>
          <w:sz w:val="30"/>
        </w:rPr>
        <w:t>流程活动说明</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
        <w:gridCol w:w="450"/>
        <w:gridCol w:w="375"/>
        <w:gridCol w:w="1695"/>
        <w:gridCol w:w="480"/>
        <w:gridCol w:w="480"/>
        <w:gridCol w:w="480"/>
        <w:gridCol w:w="480"/>
        <w:gridCol w:w="1575"/>
        <w:gridCol w:w="480"/>
        <w:gridCol w:w="480"/>
        <w:gridCol w:w="570"/>
        <w:gridCol w:w="480"/>
      </w:tblGrid>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是否是KCP/KDP</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M14.3.1</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服务结果反馈</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1、服务请求工单关单前必须要完成“客户问题解决确认”，获得客户认可才可申请正常关单操作；</w:t>
            </w:r>
          </w:p>
          <w:p>
            <w:pPr>
              <w:spacing w:before="120" w:after="120" w:line="288" w:lineRule="auto"/>
              <w:ind w:left="0"/>
              <w:jc w:val="left"/>
            </w:pPr>
            <w:r>
              <w:rPr>
                <w:rFonts w:eastAsia="等线" w:ascii="Arial" w:cs="Arial" w:hAnsi="Arial"/>
                <w:sz w:val="22"/>
              </w:rPr>
              <w:t>2、交付工程师与客户确认解决方案生效结果，问题是否被解决，是否有其他遗留问题；</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服务完成确认</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故障根因、解决方案明确且实施完成</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客户反馈结果</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符合《故障关单规范》要求，确保客户问题得到正确反馈</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关键点：所有问题关单前务必得到客户结果反馈</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《故障关单规范》要</w:t>
            </w:r>
          </w:p>
        </w:tc>
        <w:tc>
          <w:tcPr>
            <w:tcW w:w="48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M14.3.2</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服务工单关闭</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1、交付工程师在CSM发起服务请求工单关闭；</w:t>
            </w:r>
          </w:p>
          <w:p>
            <w:pPr>
              <w:spacing w:before="120" w:after="120" w:line="288" w:lineRule="auto"/>
              <w:ind w:left="0"/>
              <w:jc w:val="left"/>
            </w:pPr>
            <w:r>
              <w:rPr>
                <w:rFonts w:eastAsia="等线" w:ascii="Arial" w:cs="Arial" w:hAnsi="Arial"/>
                <w:sz w:val="22"/>
              </w:rPr>
              <w:t>2、交付工程师在CSM系统操作选择“故障观察关单阶段”——点击“填写”一栏的“问题是否解决，客户是否满意”，如实填写客户对故障处理结果；</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客户反馈结果</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问题服务结果得到客户的正确反馈</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服务工单关闭</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符合《故障关单规范》要求，确保工单关闭且正确记录问题解决结果及客户是否满意</w:t>
            </w:r>
          </w:p>
        </w:tc>
        <w:tc>
          <w:tcPr>
            <w:tcW w:w="48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《故障关单规范》要</w:t>
            </w:r>
          </w:p>
        </w:tc>
        <w:tc>
          <w:tcPr>
            <w:tcW w:w="48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M14.3.3</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服务评价</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交付工程师在CSM系统操作在“话评备注”栏目填写故障客户对故障处理意见、回收客户的建议看法，建议是输入客户的原话；</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客户对问题服务的评价</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正确收集客户对故障处理意见或其他建议看法</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话评备注</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符合《故障关单规范》要求，话评备注填写客户的建议看法</w:t>
            </w:r>
          </w:p>
        </w:tc>
        <w:tc>
          <w:tcPr>
            <w:tcW w:w="48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《故障关单规范》要</w:t>
            </w:r>
          </w:p>
        </w:tc>
        <w:tc>
          <w:tcPr>
            <w:tcW w:w="48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M14.3.4</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服务稽查</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质量经理</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1、质量经理根据闭环的服务请求工单，开启客户回访活动；</w:t>
            </w:r>
          </w:p>
          <w:p>
            <w:pPr>
              <w:spacing w:before="120" w:after="120" w:line="288" w:lineRule="auto"/>
              <w:ind w:left="0"/>
              <w:jc w:val="left"/>
            </w:pPr>
            <w:r>
              <w:rPr>
                <w:rFonts w:eastAsia="等线" w:ascii="Arial" w:cs="Arial" w:hAnsi="Arial"/>
                <w:sz w:val="22"/>
              </w:rPr>
              <w:t>2、联系客户后，回访客户对于问题的解决满意度、客户意见等，确保服务结果符合CSM记录；</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关闭工单</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正常关闭的问题工单</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回访结论</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回访客户对于问题处理的结果是否满意，收集客户建议看法</w:t>
            </w:r>
          </w:p>
        </w:tc>
        <w:tc>
          <w:tcPr>
            <w:tcW w:w="48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7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1" w:id="31"/>
      <w:r>
        <w:rPr>
          <w:rFonts w:eastAsia="等线" w:ascii="Arial" w:cs="Arial" w:hAnsi="Arial"/>
          <w:b w:val="true"/>
          <w:color w:val="245bdb"/>
          <w:sz w:val="30"/>
        </w:rPr>
        <w:t xml:space="preserve">5.5.5 </w:t>
      </w:r>
      <w:r>
        <w:rPr>
          <w:rFonts w:eastAsia="等线" w:ascii="Arial" w:cs="Arial" w:hAnsi="Arial"/>
          <w:b w:val="true"/>
          <w:sz w:val="30"/>
        </w:rPr>
        <w:t>主要岗位活动说明</w:t>
      </w:r>
      <w:bookmarkEnd w:id="31"/>
    </w:p>
    <w:p>
      <w:pPr>
        <w:spacing w:before="120" w:after="120" w:line="288" w:lineRule="auto"/>
        <w:ind w:left="0" w:firstLine="0"/>
        <w:jc w:val="left"/>
      </w:pPr>
      <w:r>
        <w:rPr>
          <w:rFonts w:eastAsia="等线" w:ascii="Arial" w:cs="Arial" w:hAnsi="Arial"/>
          <w:sz w:val="22"/>
        </w:rPr>
        <w:t>交付工程师岗位说明</w:t>
      </w: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2" w:id="32"/>
      <w:r>
        <w:rPr>
          <w:rFonts w:eastAsia="等线" w:ascii="Arial" w:cs="Arial" w:hAnsi="Arial"/>
          <w:b w:val="true"/>
          <w:color w:val="245bdb"/>
          <w:sz w:val="32"/>
        </w:rPr>
        <w:t xml:space="preserve">5.6 </w:t>
      </w:r>
      <w:r>
        <w:rPr>
          <w:rFonts w:eastAsia="等线" w:ascii="Arial" w:cs="Arial" w:hAnsi="Arial"/>
          <w:b w:val="true"/>
          <w:sz w:val="32"/>
        </w:rPr>
        <w:t>备件管理</w:t>
      </w:r>
      <w:bookmarkEnd w:id="32"/>
    </w:p>
    <w:p>
      <w:pPr>
        <w:spacing w:before="120" w:after="120" w:line="288" w:lineRule="auto"/>
        <w:ind w:left="0" w:firstLine="0"/>
        <w:jc w:val="left"/>
      </w:pPr>
      <w:r>
        <w:rPr>
          <w:rFonts w:eastAsia="等线" w:ascii="Arial" w:cs="Arial" w:hAnsi="Arial"/>
          <w:sz w:val="22"/>
        </w:rPr>
        <w:t>L5流程文件：</w:t>
      </w:r>
    </w:p>
    <w:p>
      <w:pPr>
        <w:spacing w:before="120" w:after="120" w:line="288" w:lineRule="auto"/>
        <w:ind w:left="0" w:firstLine="420"/>
        <w:jc w:val="left"/>
      </w:pPr>
      <w:r>
        <w:rPr>
          <w:rFonts w:eastAsia="等线" w:ascii="Arial" w:cs="Arial" w:hAnsi="Arial"/>
          <w:sz w:val="22"/>
        </w:rPr>
        <w:t>DOA处理流程——</w:t>
      </w:r>
      <w:hyperlink r:id="rId19">
        <w:r>
          <w:rPr>
            <w:rFonts w:eastAsia="等线" w:ascii="Arial" w:cs="Arial" w:hAnsi="Arial"/>
            <w:color w:val="3370ff"/>
            <w:sz w:val="22"/>
          </w:rPr>
          <w:t>国内DOA处理流程.docx</w:t>
        </w:r>
      </w:hyperlink>
    </w:p>
    <w:p>
      <w:pPr>
        <w:spacing w:before="120" w:after="120" w:line="288" w:lineRule="auto"/>
        <w:ind w:left="0" w:firstLine="420"/>
        <w:jc w:val="left"/>
      </w:pPr>
      <w:r>
        <w:rPr>
          <w:rFonts w:eastAsia="等线" w:ascii="Arial" w:cs="Arial" w:hAnsi="Arial"/>
          <w:sz w:val="22"/>
        </w:rPr>
        <w:t>寄送修处理流程——</w:t>
      </w:r>
      <w:hyperlink r:id="rId20">
        <w:r>
          <w:rPr>
            <w:rFonts w:eastAsia="等线" w:ascii="Arial" w:cs="Arial" w:hAnsi="Arial"/>
            <w:color w:val="3370ff"/>
            <w:sz w:val="22"/>
          </w:rPr>
          <w:t>国内寄送修流程.docx</w:t>
        </w:r>
      </w:hyperlink>
    </w:p>
    <w:p>
      <w:pPr>
        <w:spacing w:before="120" w:after="120" w:line="288" w:lineRule="auto"/>
        <w:ind w:left="0" w:firstLine="420"/>
        <w:jc w:val="left"/>
      </w:pPr>
      <w:r>
        <w:rPr>
          <w:rFonts w:eastAsia="等线" w:ascii="Arial" w:cs="Arial" w:hAnsi="Arial"/>
          <w:sz w:val="22"/>
        </w:rPr>
        <w:t>上门维修流程——</w:t>
      </w:r>
      <w:hyperlink r:id="rId21">
        <w:r>
          <w:rPr>
            <w:rFonts w:eastAsia="等线" w:ascii="Arial" w:cs="Arial" w:hAnsi="Arial"/>
            <w:color w:val="3370ff"/>
            <w:sz w:val="22"/>
          </w:rPr>
          <w:t>国内上门维修流程.docx</w:t>
        </w:r>
      </w:hyperlink>
    </w:p>
    <w:p>
      <w:pPr>
        <w:spacing w:before="120" w:after="120" w:line="288" w:lineRule="auto"/>
        <w:ind w:left="0" w:firstLine="420"/>
        <w:jc w:val="left"/>
      </w:pPr>
      <w:r>
        <w:rPr>
          <w:rFonts w:eastAsia="等线" w:ascii="Arial" w:cs="Arial" w:hAnsi="Arial"/>
          <w:sz w:val="22"/>
        </w:rPr>
        <w:t>备件借用流程——</w:t>
      </w:r>
      <w:hyperlink r:id="rId22">
        <w:r>
          <w:rPr>
            <w:rFonts w:eastAsia="等线" w:ascii="Arial" w:cs="Arial" w:hAnsi="Arial"/>
            <w:color w:val="3370ff"/>
            <w:sz w:val="22"/>
          </w:rPr>
          <w:t>02-备件使用规范--备件签收与替换件归还规范.pptx</w:t>
        </w:r>
      </w:hyperlink>
    </w:p>
    <w:p>
      <w:pPr>
        <w:pStyle w:val="2"/>
        <w:spacing w:before="320" w:after="120" w:line="288" w:lineRule="auto"/>
        <w:ind w:left="0"/>
        <w:jc w:val="left"/>
        <w:outlineLvl w:val="1"/>
      </w:pPr>
      <w:bookmarkStart w:name="heading_33" w:id="33"/>
      <w:r>
        <w:rPr>
          <w:rFonts w:eastAsia="等线" w:ascii="Arial" w:cs="Arial" w:hAnsi="Arial"/>
          <w:b w:val="true"/>
          <w:color w:val="245bdb"/>
          <w:sz w:val="32"/>
        </w:rPr>
        <w:t xml:space="preserve">5.7 </w:t>
      </w:r>
      <w:r>
        <w:rPr>
          <w:rFonts w:eastAsia="等线" w:ascii="Arial" w:cs="Arial" w:hAnsi="Arial"/>
          <w:b w:val="true"/>
          <w:sz w:val="32"/>
        </w:rPr>
        <w:t>网络变更管理</w:t>
      </w:r>
      <w:bookmarkEnd w:id="33"/>
    </w:p>
    <w:p>
      <w:pPr>
        <w:spacing w:before="120" w:after="120" w:line="288" w:lineRule="auto"/>
        <w:ind w:left="0" w:firstLine="0"/>
        <w:jc w:val="left"/>
      </w:pPr>
      <w:r>
        <w:rPr>
          <w:rFonts w:eastAsia="等线" w:ascii="Arial" w:cs="Arial" w:hAnsi="Arial"/>
          <w:sz w:val="22"/>
        </w:rPr>
        <w:t>使能流程文件——网络变更管理流程：</w:t>
      </w:r>
      <w:hyperlink r:id="rId23">
        <w:r>
          <w:rPr>
            <w:rFonts w:eastAsia="等线" w:ascii="Arial" w:cs="Arial" w:hAnsi="Arial"/>
            <w:color w:val="3370ff"/>
            <w:sz w:val="22"/>
          </w:rPr>
          <w:t>00 PM05SEI07-V3.0 技术服务部网络变更管理程序.docx</w:t>
        </w:r>
      </w:hyperlink>
    </w:p>
    <w:p>
      <w:pPr>
        <w:pStyle w:val="2"/>
        <w:spacing w:before="320" w:after="120" w:line="288" w:lineRule="auto"/>
        <w:ind w:left="0"/>
        <w:jc w:val="left"/>
        <w:outlineLvl w:val="1"/>
      </w:pPr>
      <w:bookmarkStart w:name="heading_34" w:id="34"/>
      <w:r>
        <w:rPr>
          <w:rFonts w:eastAsia="等线" w:ascii="Arial" w:cs="Arial" w:hAnsi="Arial"/>
          <w:b w:val="true"/>
          <w:color w:val="245bdb"/>
          <w:sz w:val="32"/>
        </w:rPr>
        <w:t xml:space="preserve">5.8 </w:t>
      </w:r>
      <w:r>
        <w:rPr>
          <w:rFonts w:eastAsia="等线" w:ascii="Arial" w:cs="Arial" w:hAnsi="Arial"/>
          <w:b w:val="true"/>
          <w:sz w:val="32"/>
        </w:rPr>
        <w:t>KCP/KDP说明及指导书</w:t>
      </w:r>
      <w:bookmarkEnd w:id="34"/>
    </w:p>
    <w:p>
      <w:pPr>
        <w:spacing w:before="120" w:after="120" w:line="288" w:lineRule="auto"/>
        <w:ind w:left="0" w:firstLine="0"/>
        <w:jc w:val="left"/>
      </w:pPr>
      <w:r>
        <w:rPr>
          <w:rFonts w:eastAsia="等线" w:ascii="Arial" w:cs="Arial" w:hAnsi="Arial"/>
          <w:i w:val="true"/>
          <w:color w:val="d83931"/>
          <w:sz w:val="22"/>
        </w:rPr>
        <w:t>撰写说明：KCP/KDP说明，要讲清楚，这个KCP/KDP活动的意义和价值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780"/>
        <w:gridCol w:w="2850"/>
        <w:gridCol w:w="1185"/>
        <w:gridCol w:w="1995"/>
        <w:gridCol w:w="690"/>
      </w:tblGrid>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M14.1.3 紧急情况处理</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是否紧急情况</w:t>
            </w:r>
          </w:p>
          <w:p>
            <w:pPr>
              <w:spacing w:before="120" w:after="120" w:line="288" w:lineRule="auto"/>
              <w:ind w:left="0"/>
              <w:jc w:val="left"/>
            </w:pPr>
            <w:r>
              <w:rPr>
                <w:rFonts w:eastAsia="等线" w:ascii="Arial" w:cs="Arial" w:hAnsi="Arial"/>
                <w:sz w:val="22"/>
              </w:rPr>
              <w:t>（KCP）</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通过该控制点，判断客户故障是否为断网类紧急故障，以此快速启动紧急恢复程序保障客户网络。</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交付工程师</w:t>
            </w:r>
          </w:p>
        </w:tc>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《SOS紧急恢复指导书》</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优化</w:t>
            </w: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M14.1.4 服务请求派单</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是否需要启动服务请求派单</w:t>
            </w:r>
          </w:p>
          <w:p>
            <w:pPr>
              <w:spacing w:before="120" w:after="120" w:line="288" w:lineRule="auto"/>
              <w:ind w:left="0"/>
              <w:jc w:val="left"/>
            </w:pPr>
            <w:r>
              <w:rPr>
                <w:rFonts w:eastAsia="等线" w:ascii="Arial" w:cs="Arial" w:hAnsi="Arial"/>
                <w:sz w:val="22"/>
              </w:rPr>
              <w:t>（KCP）</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通过该控制点，判断客户故障是否为渠道责任范围内故障，以此来确保渠道职责压实。</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交付工程师</w:t>
            </w:r>
          </w:p>
        </w:tc>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《400业务派单指导书》</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M14.2.3 业务恢复</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是否需要故障升级（KCP）</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通过该控制点，判断该故障所属产品及功能范围是否需要产品工程师介入协助处理，以此来确保故障顺利解决</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交付工程师</w:t>
            </w:r>
          </w:p>
        </w:tc>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《故障升级指导书》</w:t>
            </w:r>
          </w:p>
        </w:tc>
        <w:tc>
          <w:tcPr>
            <w:tcW w:w="690" w:type="dxa"/>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M14.2.3 业务恢复</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是否为产品故障（KCP）</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通过该控制点，判断客户故障是否为产品原因造成的故障，若为产品原因，需要研发及时接入提供版本支持。</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产品工程师</w:t>
            </w:r>
          </w:p>
        </w:tc>
        <w:tc>
          <w:tcPr>
            <w:tcW w:w="199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M14.2.5提供解决方案</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解决方案与一线共识（KDP）</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通过该评审点，由最了解客户现场情况的一线工程师来判断解决方案是否能彻底解决客户问题及排除隐患避免故障进一步恶化。</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交付工程师</w:t>
            </w:r>
          </w:p>
        </w:tc>
        <w:tc>
          <w:tcPr>
            <w:tcW w:w="199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M14.3.1实施结果反馈</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确保客户问题彻底解决（KDP）</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通过该评审点，由一线工程师确认客户故障彻底解决并没有后续复发隐患，并转交客户故障报告保证客户满意度。</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交付工程师</w:t>
            </w:r>
          </w:p>
        </w:tc>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《故障报告模板》</w:t>
            </w:r>
          </w:p>
        </w:tc>
        <w:tc>
          <w:tcPr>
            <w:tcW w:w="690" w:type="dxa"/>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M14.3.3服务评价</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回访直接客户确认客户是否满意（KCP）</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通过该控制点，判断客户感知内客户是否彻底解决及对工程师服务态度的满意度。</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交付工程师</w:t>
            </w:r>
          </w:p>
        </w:tc>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《400满意度指导书》</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优化</w:t>
            </w:r>
          </w:p>
        </w:tc>
      </w:tr>
    </w:tbl>
    <w:p>
      <w:pPr>
        <w:spacing w:before="120" w:after="120" w:line="288" w:lineRule="auto"/>
        <w:ind w:left="0" w:firstLine="0"/>
        <w:jc w:val="left"/>
      </w:pPr>
      <w:r>
        <w:rPr>
          <w:rFonts w:eastAsia="等线" w:ascii="Arial" w:cs="Arial" w:hAnsi="Arial"/>
          <w:sz w:val="22"/>
        </w:rPr>
        <w:t>解释权限及生效日期</w:t>
      </w:r>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本文档自发布之日起至V1.0版本发布前生效。</w:t>
      </w:r>
    </w:p>
    <w:p>
      <w:pPr>
        <w:pStyle w:val="1"/>
        <w:spacing w:before="380" w:after="140" w:line="288" w:lineRule="auto"/>
        <w:ind w:left="0"/>
        <w:jc w:val="left"/>
        <w:outlineLvl w:val="0"/>
      </w:pPr>
      <w:bookmarkStart w:name="heading_35" w:id="35"/>
      <w:r>
        <w:rPr>
          <w:rFonts w:eastAsia="等线" w:ascii="Arial" w:cs="Arial" w:hAnsi="Arial"/>
          <w:b w:val="true"/>
          <w:color w:val="245bdb"/>
          <w:sz w:val="36"/>
        </w:rPr>
        <w:t xml:space="preserve">6. </w:t>
      </w:r>
      <w:r>
        <w:rPr>
          <w:rFonts w:eastAsia="等线" w:ascii="Arial" w:cs="Arial" w:hAnsi="Arial"/>
          <w:b w:val="true"/>
          <w:sz w:val="36"/>
        </w:rPr>
        <w:t>IT系统支持表</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2445"/>
        <w:gridCol w:w="855"/>
        <w:gridCol w:w="855"/>
        <w:gridCol w:w="855"/>
        <w:gridCol w:w="1245"/>
        <w:gridCol w:w="1065"/>
      </w:tblGrid>
      <w:tr>
        <w:tc>
          <w:tcPr>
            <w:tcW w:w="975" w:type="dxa"/>
            <w:tcMar>
              <w:top w:type="dxa" w:w="60"/>
              <w:left w:type="dxa" w:w="120"/>
              <w:bottom w:type="dxa" w:w="30"/>
              <w:right w:type="dxa" w:w="120"/>
            </w:tcMar>
          </w:tcPr>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服务请求鉴权</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故障基础数据完善</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服务请求鉴权</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序列号收集工具</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服务请求鉴权</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渠道档案数据对接</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服务请求鉴权</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原厂csm工单显示设备维保信息</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Q1</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服务请求鉴权</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基于维保状态的转接规则支持</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服务请求派单</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派单业务系统</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CSM/小程序</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Q1</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服务请求派单</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渠道接单及跟进页面页面</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CSM/小程序</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Q1</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服务请求派单</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渠道csm工单对接</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服务请求派单</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外呼派单功能</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CSM/天润</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服务请求派单</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业务回流400功能（回流在线与热线）</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Q1</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服务请求派单</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渠道维护信息推送</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服务评价</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渠道工单满意度回收功能</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CSM/小程序</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邵显涛</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bl>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4725">
    <w:lvl>
      <w:start w:val="1"/>
      <w:numFmt w:val="decimal"/>
      <w:suff w:val="tab"/>
      <w:lvlText w:val="%1."/>
      <w:rPr>
        <w:color w:val="3370ff"/>
      </w:rPr>
    </w:lvl>
  </w:abstractNum>
  <w:abstractNum w:abstractNumId="64726">
    <w:lvl>
      <w:start w:val="2"/>
      <w:numFmt w:val="decimal"/>
      <w:suff w:val="tab"/>
      <w:lvlText w:val="%1."/>
      <w:rPr>
        <w:color w:val="3370ff"/>
      </w:rPr>
    </w:lvl>
  </w:abstractNum>
  <w:abstractNum w:abstractNumId="64727">
    <w:lvl>
      <w:start w:val="3"/>
      <w:numFmt w:val="decimal"/>
      <w:suff w:val="tab"/>
      <w:lvlText w:val="%1."/>
      <w:rPr>
        <w:color w:val="3370ff"/>
      </w:rPr>
    </w:lvl>
  </w:abstractNum>
  <w:abstractNum w:abstractNumId="64728">
    <w:lvl>
      <w:start w:val="1"/>
      <w:numFmt w:val="decimal"/>
      <w:suff w:val="tab"/>
      <w:lvlText w:val="%1."/>
      <w:rPr>
        <w:color w:val="3370ff"/>
      </w:rPr>
    </w:lvl>
  </w:abstractNum>
  <w:abstractNum w:abstractNumId="64729">
    <w:lvl>
      <w:start w:val="2"/>
      <w:numFmt w:val="decimal"/>
      <w:suff w:val="tab"/>
      <w:lvlText w:val="%1."/>
      <w:rPr>
        <w:color w:val="3370ff"/>
      </w:rPr>
    </w:lvl>
  </w:abstractNum>
  <w:abstractNum w:abstractNumId="64730">
    <w:lvl>
      <w:start w:val="3"/>
      <w:numFmt w:val="decimal"/>
      <w:suff w:val="tab"/>
      <w:lvlText w:val="%1."/>
      <w:rPr>
        <w:color w:val="3370ff"/>
      </w:rPr>
    </w:lvl>
  </w:abstractNum>
  <w:abstractNum w:abstractNumId="64731">
    <w:lvl>
      <w:start w:val="4"/>
      <w:numFmt w:val="decimal"/>
      <w:suff w:val="tab"/>
      <w:lvlText w:val="%1."/>
      <w:rPr>
        <w:color w:val="3370ff"/>
      </w:rPr>
    </w:lvl>
  </w:abstractNum>
  <w:abstractNum w:abstractNumId="64732">
    <w:lvl>
      <w:start w:val="1"/>
      <w:numFmt w:val="decimal"/>
      <w:suff w:val="tab"/>
      <w:lvlText w:val="%1."/>
      <w:rPr>
        <w:color w:val="3370ff"/>
      </w:rPr>
    </w:lvl>
  </w:abstractNum>
  <w:abstractNum w:abstractNumId="64733">
    <w:lvl>
      <w:start w:val="2"/>
      <w:numFmt w:val="decimal"/>
      <w:suff w:val="tab"/>
      <w:lvlText w:val="%1."/>
      <w:rPr>
        <w:color w:val="3370ff"/>
      </w:rPr>
    </w:lvl>
  </w:abstractNum>
  <w:abstractNum w:abstractNumId="64734">
    <w:lvl>
      <w:start w:val="3"/>
      <w:numFmt w:val="decimal"/>
      <w:suff w:val="tab"/>
      <w:lvlText w:val="%1."/>
      <w:rPr>
        <w:color w:val="3370ff"/>
      </w:rPr>
    </w:lvl>
  </w:abstractNum>
  <w:abstractNum w:abstractNumId="64735">
    <w:lvl>
      <w:start w:val="4"/>
      <w:numFmt w:val="decimal"/>
      <w:suff w:val="tab"/>
      <w:lvlText w:val="%1."/>
      <w:rPr>
        <w:color w:val="3370ff"/>
      </w:rPr>
    </w:lvl>
  </w:abstractNum>
  <w:abstractNum w:abstractNumId="64736">
    <w:lvl>
      <w:start w:val="5"/>
      <w:numFmt w:val="decimal"/>
      <w:suff w:val="tab"/>
      <w:lvlText w:val="%1."/>
      <w:rPr>
        <w:color w:val="3370ff"/>
      </w:rPr>
    </w:lvl>
  </w:abstractNum>
  <w:abstractNum w:abstractNumId="64737">
    <w:lvl>
      <w:start w:val="1"/>
      <w:numFmt w:val="decimal"/>
      <w:suff w:val="tab"/>
      <w:lvlText w:val="%1."/>
      <w:rPr>
        <w:color w:val="3370ff"/>
      </w:rPr>
    </w:lvl>
  </w:abstractNum>
  <w:abstractNum w:abstractNumId="64738">
    <w:lvl>
      <w:start w:val="2"/>
      <w:numFmt w:val="decimal"/>
      <w:suff w:val="tab"/>
      <w:lvlText w:val="%1."/>
      <w:rPr>
        <w:color w:val="3370ff"/>
      </w:rPr>
    </w:lvl>
  </w:abstractNum>
  <w:abstractNum w:abstractNumId="64739">
    <w:lvl>
      <w:start w:val="3"/>
      <w:numFmt w:val="decimal"/>
      <w:suff w:val="tab"/>
      <w:lvlText w:val="%1."/>
      <w:rPr>
        <w:color w:val="3370ff"/>
      </w:rPr>
    </w:lvl>
  </w:abstractNum>
  <w:abstractNum w:abstractNumId="64740">
    <w:lvl>
      <w:start w:val="4"/>
      <w:numFmt w:val="decimal"/>
      <w:suff w:val="tab"/>
      <w:lvlText w:val="%1."/>
      <w:rPr>
        <w:color w:val="3370ff"/>
      </w:rPr>
    </w:lvl>
  </w:abstractNum>
  <w:abstractNum w:abstractNumId="64741">
    <w:lvl>
      <w:start w:val="5"/>
      <w:numFmt w:val="decimal"/>
      <w:suff w:val="tab"/>
      <w:lvlText w:val="%1."/>
      <w:rPr>
        <w:color w:val="3370ff"/>
      </w:rPr>
    </w:lvl>
  </w:abstractNum>
  <w:abstractNum w:abstractNumId="64742">
    <w:lvl>
      <w:start w:val="1"/>
      <w:numFmt w:val="decimal"/>
      <w:suff w:val="tab"/>
      <w:lvlText w:val="%1."/>
      <w:rPr>
        <w:color w:val="3370ff"/>
      </w:rPr>
    </w:lvl>
  </w:abstractNum>
  <w:abstractNum w:abstractNumId="64743">
    <w:lvl>
      <w:start w:val="2"/>
      <w:numFmt w:val="decimal"/>
      <w:suff w:val="tab"/>
      <w:lvlText w:val="%1."/>
      <w:rPr>
        <w:color w:val="3370ff"/>
      </w:rPr>
    </w:lvl>
  </w:abstractNum>
  <w:abstractNum w:abstractNumId="64744">
    <w:lvl>
      <w:start w:val="3"/>
      <w:numFmt w:val="decimal"/>
      <w:suff w:val="tab"/>
      <w:lvlText w:val="%1."/>
      <w:rPr>
        <w:color w:val="3370ff"/>
      </w:rPr>
    </w:lvl>
  </w:abstractNum>
  <w:abstractNum w:abstractNumId="64745">
    <w:lvl>
      <w:start w:val="4"/>
      <w:numFmt w:val="decimal"/>
      <w:suff w:val="tab"/>
      <w:lvlText w:val="%1."/>
      <w:rPr>
        <w:color w:val="3370ff"/>
      </w:rPr>
    </w:lvl>
  </w:abstractNum>
  <w:abstractNum w:abstractNumId="64746">
    <w:lvl>
      <w:start w:val="5"/>
      <w:numFmt w:val="decimal"/>
      <w:suff w:val="tab"/>
      <w:lvlText w:val="%1."/>
      <w:rPr>
        <w:color w:val="3370ff"/>
      </w:rPr>
    </w:lvl>
  </w:abstractNum>
  <w:abstractNum w:abstractNumId="64747">
    <w:lvl>
      <w:start w:val="1"/>
      <w:numFmt w:val="decimal"/>
      <w:suff w:val="tab"/>
      <w:lvlText w:val="%1."/>
      <w:rPr>
        <w:color w:val="3370ff"/>
      </w:rPr>
    </w:lvl>
  </w:abstractNum>
  <w:abstractNum w:abstractNumId="64748">
    <w:lvl>
      <w:start w:val="2"/>
      <w:numFmt w:val="decimal"/>
      <w:suff w:val="tab"/>
      <w:lvlText w:val="%1."/>
      <w:rPr>
        <w:color w:val="3370ff"/>
      </w:rPr>
    </w:lvl>
  </w:abstractNum>
  <w:abstractNum w:abstractNumId="64749">
    <w:lvl>
      <w:start w:val="3"/>
      <w:numFmt w:val="decimal"/>
      <w:suff w:val="tab"/>
      <w:lvlText w:val="%1."/>
      <w:rPr>
        <w:color w:val="3370ff"/>
      </w:rPr>
    </w:lvl>
  </w:abstractNum>
  <w:abstractNum w:abstractNumId="64750">
    <w:lvl>
      <w:start w:val="4"/>
      <w:numFmt w:val="decimal"/>
      <w:suff w:val="tab"/>
      <w:lvlText w:val="%1."/>
      <w:rPr>
        <w:color w:val="3370ff"/>
      </w:rPr>
    </w:lvl>
  </w:abstractNum>
  <w:abstractNum w:abstractNumId="64751">
    <w:lvl>
      <w:start w:val="1"/>
      <w:numFmt w:val="decimal"/>
      <w:suff w:val="tab"/>
      <w:lvlText w:val="%1."/>
      <w:rPr>
        <w:color w:val="3370ff"/>
      </w:rPr>
    </w:lvl>
  </w:abstractNum>
  <w:abstractNum w:abstractNumId="64752">
    <w:lvl>
      <w:start w:val="2"/>
      <w:numFmt w:val="decimal"/>
      <w:suff w:val="tab"/>
      <w:lvlText w:val="%1."/>
      <w:rPr>
        <w:color w:val="3370ff"/>
      </w:rPr>
    </w:lvl>
  </w:abstractNum>
  <w:abstractNum w:abstractNumId="64753">
    <w:lvl>
      <w:start w:val="3"/>
      <w:numFmt w:val="decimal"/>
      <w:suff w:val="tab"/>
      <w:lvlText w:val="%1."/>
      <w:rPr>
        <w:color w:val="3370ff"/>
      </w:rPr>
    </w:lvl>
  </w:abstractNum>
  <w:abstractNum w:abstractNumId="64754">
    <w:lvl>
      <w:start w:val="4"/>
      <w:numFmt w:val="decimal"/>
      <w:suff w:val="tab"/>
      <w:lvlText w:val="%1."/>
      <w:rPr>
        <w:color w:val="3370ff"/>
      </w:rPr>
    </w:lvl>
  </w:abstractNum>
  <w:abstractNum w:abstractNumId="64755">
    <w:lvl>
      <w:start w:val="5"/>
      <w:numFmt w:val="decimal"/>
      <w:suff w:val="tab"/>
      <w:lvlText w:val="%1."/>
      <w:rPr>
        <w:color w:val="3370ff"/>
      </w:rPr>
    </w:lvl>
  </w:abstractNum>
  <w:abstractNum w:abstractNumId="64756">
    <w:lvl>
      <w:start w:val="6"/>
      <w:numFmt w:val="decimal"/>
      <w:suff w:val="tab"/>
      <w:lvlText w:val="%1."/>
      <w:rPr>
        <w:color w:val="3370ff"/>
      </w:rPr>
    </w:lvl>
  </w:abstractNum>
  <w:num w:numId="1">
    <w:abstractNumId w:val="64725"/>
  </w:num>
  <w:num w:numId="2">
    <w:abstractNumId w:val="64726"/>
  </w:num>
  <w:num w:numId="3">
    <w:abstractNumId w:val="64727"/>
  </w:num>
  <w:num w:numId="4">
    <w:abstractNumId w:val="64728"/>
  </w:num>
  <w:num w:numId="5">
    <w:abstractNumId w:val="64729"/>
  </w:num>
  <w:num w:numId="6">
    <w:abstractNumId w:val="64730"/>
  </w:num>
  <w:num w:numId="7">
    <w:abstractNumId w:val="64731"/>
  </w:num>
  <w:num w:numId="8">
    <w:abstractNumId w:val="64732"/>
  </w:num>
  <w:num w:numId="9">
    <w:abstractNumId w:val="64733"/>
  </w:num>
  <w:num w:numId="10">
    <w:abstractNumId w:val="64734"/>
  </w:num>
  <w:num w:numId="11">
    <w:abstractNumId w:val="64735"/>
  </w:num>
  <w:num w:numId="12">
    <w:abstractNumId w:val="64736"/>
  </w:num>
  <w:num w:numId="13">
    <w:abstractNumId w:val="64737"/>
  </w:num>
  <w:num w:numId="14">
    <w:abstractNumId w:val="64738"/>
  </w:num>
  <w:num w:numId="15">
    <w:abstractNumId w:val="64739"/>
  </w:num>
  <w:num w:numId="16">
    <w:abstractNumId w:val="64740"/>
  </w:num>
  <w:num w:numId="17">
    <w:abstractNumId w:val="64741"/>
  </w:num>
  <w:num w:numId="18">
    <w:abstractNumId w:val="64742"/>
  </w:num>
  <w:num w:numId="19">
    <w:abstractNumId w:val="64743"/>
  </w:num>
  <w:num w:numId="20">
    <w:abstractNumId w:val="64744"/>
  </w:num>
  <w:num w:numId="21">
    <w:abstractNumId w:val="64745"/>
  </w:num>
  <w:num w:numId="22">
    <w:abstractNumId w:val="64746"/>
  </w:num>
  <w:num w:numId="23">
    <w:abstractNumId w:val="64747"/>
  </w:num>
  <w:num w:numId="24">
    <w:abstractNumId w:val="64748"/>
  </w:num>
  <w:num w:numId="25">
    <w:abstractNumId w:val="64749"/>
  </w:num>
  <w:num w:numId="26">
    <w:abstractNumId w:val="64750"/>
  </w:num>
  <w:num w:numId="27">
    <w:abstractNumId w:val="64751"/>
  </w:num>
  <w:num w:numId="28">
    <w:abstractNumId w:val="64752"/>
  </w:num>
  <w:num w:numId="29">
    <w:abstractNumId w:val="64753"/>
  </w:num>
  <w:num w:numId="30">
    <w:abstractNumId w:val="64754"/>
  </w:num>
  <w:num w:numId="31">
    <w:abstractNumId w:val="64755"/>
  </w:num>
  <w:num w:numId="32">
    <w:abstractNumId w:val="6475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numbering.xml" Type="http://schemas.openxmlformats.org/officeDocument/2006/relationships/numbering"/><Relationship Id="rId12" Target="https://ruijie.feishu.cn/wiki/Jd01wlAJoiNGr7kyJsWcQTPxnpb" TargetMode="External" Type="http://schemas.openxmlformats.org/officeDocument/2006/relationships/hyperlink"/><Relationship Id="rId13" Target="https://ruijie.feishu.cn/wiki/RWc5w6qd7iefojk5T63cKHQWn0e" TargetMode="External" Type="http://schemas.openxmlformats.org/officeDocument/2006/relationships/hyperlink"/><Relationship Id="rId14" Target="https://ruijie.feishu.cn/wiki/PemYwdN0Miwe4JkDc18ceE4onae" TargetMode="External" Type="http://schemas.openxmlformats.org/officeDocument/2006/relationships/hyperlink"/><Relationship Id="rId15" Target="https://ruijie.feishu.cn/wiki/HpKvwVh2eilh4BkJvzncrvQensd" TargetMode="External" Type="http://schemas.openxmlformats.org/officeDocument/2006/relationships/hyperlink"/><Relationship Id="rId16" Target="https://ruijie.feishu.cn/wiki/IZN8wdtROiTZT3kEn8xcphdmnzf" TargetMode="External" Type="http://schemas.openxmlformats.org/officeDocument/2006/relationships/hyperlink"/><Relationship Id="rId17" Target="media/image8.jpeg" Type="http://schemas.openxmlformats.org/officeDocument/2006/relationships/image"/><Relationship Id="rId18" Target="media/image9.jpeg" Type="http://schemas.openxmlformats.org/officeDocument/2006/relationships/image"/><Relationship Id="rId19" Target="https://ruijie.feishu.cn/file/I6W5bdIaLo7o5QxgcUMcjTzVntb?from=from_copylink" TargetMode="External" Type="http://schemas.openxmlformats.org/officeDocument/2006/relationships/hyperlink"/><Relationship Id="rId2" Target="styles.xml" Type="http://schemas.openxmlformats.org/officeDocument/2006/relationships/styles"/><Relationship Id="rId20" Target="https://ruijie.feishu.cn/file/P56ob940loIYPtx7Jssc3TssnPf?from=from_copylink" TargetMode="External" Type="http://schemas.openxmlformats.org/officeDocument/2006/relationships/hyperlink"/><Relationship Id="rId21" Target="https://ruijie.feishu.cn/file/DjuqbBZleoUTryxiIRlcUJHVnkd?from=from_copylink" TargetMode="External" Type="http://schemas.openxmlformats.org/officeDocument/2006/relationships/hyperlink"/><Relationship Id="rId22" Target="https://ruijie.feishu.cn/file/UJ54b1mFDo5kcVx1YMUcAPcBnGc?from=from_copylink" TargetMode="External" Type="http://schemas.openxmlformats.org/officeDocument/2006/relationships/hyperlink"/><Relationship Id="rId23" Target="https://ruijie.feishu.cn/wiki/wikcnGAQSRZEbgBtt2Uijw5K35z" TargetMode="External" Type="http://schemas.openxmlformats.org/officeDocument/2006/relationships/hyperlink"/><Relationship Id="rId24"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word/_rels/header1.xml.rels><?xml version="1.0" encoding="UTF-8" standalone="yes"?><Relationships xmlns="http://schemas.openxmlformats.org/package/2006/relationships"><Relationship Id="rId1" Target="media/image10.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2025-05-14T01:42:08Z</dcterms:created>
  <dc:creator>Apache POI</dc:creator>
</cp:coreProperties>
</file>