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M2.2 市场洞察开题流程说明文件-V0.9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M2.2 市场洞察开题流程说明文件-V0.9 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 </w:t>
      </w:r>
      <w:bookmarkEnd w:id="1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M2.2 市场洞察开题流程</w:t>
      </w:r>
      <w:bookmarkEnd w:id="2"/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455"/>
        <w:gridCol w:w="1455"/>
        <w:gridCol w:w="1350"/>
        <w:gridCol w:w="1350"/>
        <w:gridCol w:w="1215"/>
      </w:tblGrid>
      <w:tr>
        <w:tc>
          <w:tcPr>
            <w:tcW w:w="57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文件名称：M2.2 市场洞察开题流程说明文件-V0.9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7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文件编号：MTCV-MI-M2.2-P-市场洞察开题文件-V0.9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生效日期：2025/3/10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PO：项小升</w:t>
            </w:r>
          </w:p>
        </w:tc>
        <w:tc>
          <w:tcPr>
            <w:tcW w:w="56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PO：项小升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流程组团队成员：谢海洋、王鑫睿、陈艳冬</w:t>
            </w:r>
          </w:p>
        </w:tc>
        <w:tc>
          <w:tcPr>
            <w:tcW w:w="135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</w:t>
            </w:r>
            <w:r>
              <w:rPr>
                <w:rFonts w:eastAsia="等线" w:ascii="Arial" w:cs="Arial" w:hAnsi="Arial"/>
                <w:b w:val="true"/>
                <w:sz w:val="22"/>
              </w:rPr>
              <w:t>项小升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流程PC：隋媛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项小升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2025-3-20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本流程专注于市场侦听获得的市场洞察入池线索（或自上而下）的开题环节，通过严谨的课题澄清、课题开题、开题评审等确保课题的目的性、价值性、解题的计划性和有效性等，一旦通过开题评审，可以获得相应资源，并快速、精准地进行解题工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市场洞察是公司新品新方案、新市场新机会的关键来源，对创新和市场意义重大，而开题是确保整个市场洞察的质量和效率的关键环节，因此我们发布该流程，从而提升整个组织的市场洞察的产出。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本流程适用于 EBG 各部门的市场洞察活动，是广义的市场洞察，包括战略部、产品BU、解决方案部、系统部和区域/国家平台部等部门的市场洞察，</w:t>
      </w:r>
      <w:r>
        <w:rPr>
          <w:rFonts w:eastAsia="等线" w:ascii="Arial" w:cs="Arial" w:hAnsi="Arial"/>
          <w:color w:val="d83931"/>
          <w:sz w:val="22"/>
        </w:rPr>
        <w:t>可以细分为BG战略洞察、BU市场洞察、区域机会洞察三大类洞察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720"/>
        <w:gridCol w:w="651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英文全称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开题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由上级部门指定，或自行安排的市场洞察任务；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接题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承接上级部门或自行安排的市场洞察任务动作；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开题澄清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针对《市场洞察开题报告》的开题背景、目的和必要性做澄清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（why）</w:t>
            </w:r>
            <w:r>
              <w:rPr>
                <w:rFonts w:eastAsia="等线" w:ascii="Arial" w:cs="Arial" w:hAnsi="Arial"/>
                <w:sz w:val="22"/>
              </w:rPr>
              <w:t>，确保他人理解开题意图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开题报告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针对《市场洞察开题报告》的开题要求而需要回答</w:t>
            </w:r>
            <w:r>
              <w:rPr>
                <w:rFonts w:eastAsia="等线" w:ascii="Arial" w:cs="Arial" w:hAnsi="Arial"/>
                <w:color w:val="d83931"/>
                <w:sz w:val="22"/>
              </w:rPr>
              <w:t>Why、What、how、进度分工</w:t>
            </w:r>
            <w:r>
              <w:rPr>
                <w:rFonts w:eastAsia="等线" w:ascii="Arial" w:cs="Arial" w:hAnsi="Arial"/>
                <w:sz w:val="22"/>
              </w:rPr>
              <w:t>等的完整报告材料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自上而下开题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接题人的上级管理者</w:t>
            </w:r>
            <w:r>
              <w:rPr>
                <w:rFonts w:eastAsia="等线" w:ascii="Arial" w:cs="Arial" w:hAnsi="Arial"/>
                <w:sz w:val="22"/>
              </w:rPr>
              <w:t>开出的市场洞察课题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自下而上开题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接题人自己</w:t>
            </w:r>
            <w:r>
              <w:rPr>
                <w:rFonts w:eastAsia="等线" w:ascii="Arial" w:cs="Arial" w:hAnsi="Arial"/>
                <w:sz w:val="22"/>
              </w:rPr>
              <w:t>开出的市场洞察课题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区域市场洞察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区域层面的市场洞察，包括自上而下开题，也包括自下而上开题（区域层面自己开的题）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7"/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3075"/>
        <w:gridCol w:w="3885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市场洞察开题人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自上而下：接题人的上级管理者（包括但不限于直属主管、一级部门管理者、EBG执委会等）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自下而上：接题人自己（包括但不限于战略部、产品BU、解决方案部、系统部和区域平台部、国家等成员）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确定需要开题的具体课题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负责开题澄清，针对开题背景、目的和必要性做澄清（why），确保他人理解开题意图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和接题人就完整的《市场洞察开题报告》进行共识拉通，给出评审意见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市场洞察接题人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（洞察阶段的接题人）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承接上级部门或自行安排的市场洞察任务的人员（包括但不限于战略部、产品BU、解决方案部、系统部和区域平台部、国家等成员，按课题需求和来源确定接题人）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如有联合洞察，也是联合接题团队/解题团队的”管理者“，对联合洞察的成果负责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开题阶段：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负责承接由开题人派发或提供的市场洞察任务，并与开题人进行目标共识，实现开题澄清；；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撰写输出完整的《战略洞察开题报告》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如有联合洞察，开题澄清后负责组建联合接题团队，共同输出完整的《战略洞察开题报告》。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洞察阶段：（本L3流程不涉及）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洞察阶段的解题人，确定和执行解题计划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如有联合洞察，负责协调和管理联合解题团队，确保团队工作有序推进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输出（牵头）洞察报告，保证报告高质量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作为第一责任人参与洞察评审，组织修订洞察报告，完成报告归档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市场洞察联合接题人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和接题人一起承接上级部门或自行安排的市场洞察任务的人员（包括但不限于战略部、产品BU、解决方案部、系统部和区域平台部、国家等成员，按课题需求和来源确定联合接题人）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开题阶段：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负责《战略洞察开题报告》中自己领域关联的内容编写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和其它接题人一起共创共谋，一起输出完整的《战略洞察开题报告》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洞察阶段：（本L3流程不涉及）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按计划和要求执行自己关联领域（或洞察团队安排）的洞察任务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和其它接题人一起共创共谋，一起输出洞察报告，保证报告高质量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根据洞察评审结论，修订自己关联领域的洞察报告，协同完成报告归档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开题评审人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评审开题报告的why、what、how、时间节点和分工的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客观性和合理性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对自己部门负责课题的时间节点、分工和资源的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承诺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开题评审人一般由</w:t>
            </w:r>
            <w:r>
              <w:rPr>
                <w:rFonts w:eastAsia="等线" w:ascii="Arial" w:cs="Arial" w:hAnsi="Arial"/>
                <w:color w:val="d83931"/>
                <w:sz w:val="22"/>
              </w:rPr>
              <w:t>解题人主管、联合解题人主管</w:t>
            </w:r>
            <w:r>
              <w:rPr>
                <w:rFonts w:eastAsia="等线" w:ascii="Arial" w:cs="Arial" w:hAnsi="Arial"/>
                <w:sz w:val="22"/>
              </w:rPr>
              <w:t>组成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区域的开题评审人是</w:t>
            </w:r>
            <w:r>
              <w:rPr>
                <w:rFonts w:eastAsia="等线" w:ascii="Arial" w:cs="Arial" w:hAnsi="Arial"/>
                <w:color w:val="d83931"/>
                <w:sz w:val="22"/>
              </w:rPr>
              <w:t>区域主管和区域技术负责人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</w:t>
            </w:r>
            <w:r>
              <w:rPr>
                <w:rFonts w:eastAsia="等线" w:ascii="Arial" w:cs="Arial" w:hAnsi="Arial"/>
                <w:color w:val="d83931"/>
                <w:sz w:val="22"/>
              </w:rPr>
              <w:t>自上而下开题，则开题人也是开题评审人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如是五星级课题，EBG执委是评审人（详见下文）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负责开题报告的准出评审和资源承诺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开题评审人，同时也是最后洞察报告的结题评审人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开题评审人矩阵表（同时也是洞察报告结题评审人）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3855"/>
        <w:gridCol w:w="315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开题类型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开题类型说明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开题评审人（岗位）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区域机会洞察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区域层面自己组织的机会洞察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包括自上而下开题，也包括自下而上开题（区域层面自己开的题）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区域经理、区域技术主管、海外国家代表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市场洞察（2星）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以信息收集整理分析解读，以案头研究为主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二级主管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市场洞察（3星）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通常但不限于对某场景有价值，或BU层面的市场洞察课题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需要多部门协同开题，需</w:t>
            </w:r>
            <w:r>
              <w:rPr>
                <w:rFonts w:eastAsia="等线" w:ascii="Arial" w:cs="Arial" w:hAnsi="Arial"/>
                <w:color w:val="d83931"/>
                <w:sz w:val="22"/>
              </w:rPr>
              <w:t>多BU二级主管</w:t>
            </w:r>
            <w:r>
              <w:rPr>
                <w:rFonts w:eastAsia="等线" w:ascii="Arial" w:cs="Arial" w:hAnsi="Arial"/>
                <w:sz w:val="22"/>
              </w:rPr>
              <w:t>参与开题评审的课题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单一部门开题，但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一级主管参与开题评审</w:t>
            </w:r>
            <w:r>
              <w:rPr>
                <w:rFonts w:eastAsia="等线" w:ascii="Arial" w:cs="Arial" w:hAnsi="Arial"/>
                <w:sz w:val="22"/>
              </w:rPr>
              <w:t>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市场洞察课题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多BU联合开题：</w:t>
            </w:r>
            <w:r>
              <w:rPr>
                <w:rFonts w:eastAsia="等线" w:ascii="Arial" w:cs="Arial" w:hAnsi="Arial"/>
                <w:sz w:val="22"/>
              </w:rPr>
              <w:t>各BU的二级主管，主要包括产品CPO、系统部营销总、解决方案行业经理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单一部门开题：</w:t>
            </w:r>
            <w:r>
              <w:rPr>
                <w:rFonts w:eastAsia="等线" w:ascii="Arial" w:cs="Arial" w:hAnsi="Arial"/>
                <w:sz w:val="22"/>
              </w:rPr>
              <w:t>各BU一级主管自己，包括产品BU总、系统部总、解决方案部总经理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市场洞察（4星）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通常但不限于对行业层面有较高价值，或BU层面的战略洞察课题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需要多部门协同开题，开题、结题评审节点</w:t>
            </w:r>
            <w:r>
              <w:rPr>
                <w:rFonts w:eastAsia="等线" w:ascii="Arial" w:cs="Arial" w:hAnsi="Arial"/>
                <w:color w:val="d83931"/>
                <w:sz w:val="22"/>
              </w:rPr>
              <w:t>需有多BU一级主管参与评审（或明确授权代表参与）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单一部门开题，但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一级主管参与开题评审</w:t>
            </w:r>
            <w:r>
              <w:rPr>
                <w:rFonts w:eastAsia="等线" w:ascii="Arial" w:cs="Arial" w:hAnsi="Arial"/>
                <w:sz w:val="22"/>
              </w:rPr>
              <w:t>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战略洞察课题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各BU一级主管：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包括产品BU总、系统部总、解决方案总经理（如授权代表参与，结论形同一级主管结论，不允许变更）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市场洞察（5星）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洞察结果对EBG战略有较高价值，EBG层面的战略洞察课题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开题评审</w:t>
            </w:r>
            <w:r>
              <w:rPr>
                <w:rFonts w:eastAsia="等线" w:ascii="Arial" w:cs="Arial" w:hAnsi="Arial"/>
                <w:color w:val="d83931"/>
                <w:sz w:val="22"/>
              </w:rPr>
              <w:t>需有EBG执委会参与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EBG执委会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注：如是自上而下的开题，开题人也参与作为开题评审人（同时也是洞察报告结题评审人）</w:t>
      </w:r>
    </w:p>
    <w:p>
      <w:pPr>
        <w:spacing w:before="120" w:after="120" w:line="288" w:lineRule="auto"/>
        <w:ind w:left="0" w:firstLine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课题分类星级评价及评审人矩阵v1.1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流程文件说明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 xml:space="preserve">流程卡 </w:t>
      </w:r>
      <w:bookmarkEnd w:id="10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L2流程框架（键盘图）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1、L2流程键盘图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L2流程示意图</w:t>
      </w:r>
      <w:bookmarkEnd w:id="13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L3示意图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45bdb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5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流程活动说明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流程活动说明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"/>
        <w:gridCol w:w="570"/>
        <w:gridCol w:w="1965"/>
        <w:gridCol w:w="570"/>
        <w:gridCol w:w="480"/>
        <w:gridCol w:w="480"/>
        <w:gridCol w:w="480"/>
        <w:gridCol w:w="585"/>
        <w:gridCol w:w="480"/>
        <w:gridCol w:w="615"/>
        <w:gridCol w:w="570"/>
        <w:gridCol w:w="570"/>
        <w:gridCol w:w="675"/>
      </w:tblGrid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活动/子流程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开题方向筛选及确立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接收市场侦听的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入池开题线索</w:t>
            </w:r>
            <w:r>
              <w:rPr>
                <w:rFonts w:eastAsia="等线" w:ascii="Arial" w:cs="Arial" w:hAnsi="Arial"/>
                <w:sz w:val="22"/>
              </w:rPr>
              <w:t>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判断选择哪些课题进行开题；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如选择并开题则进入：开题澄清与反馈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市场洞察开题人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入池开题线索信息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入池线索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或上级管理者指定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确认的开题方向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明确的开题方向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可以分为自上而下的开题方式和自下而上的开题方式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开题澄清与反馈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b w:val="true"/>
                <w:sz w:val="22"/>
              </w:rPr>
              <w:t>区域机会洞察不需要该步骤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针对开题背景、目的和必要性做澄清（WHY）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1、自上而下开题，确保接题人</w:t>
            </w:r>
            <w:r>
              <w:rPr>
                <w:rFonts w:eastAsia="等线" w:ascii="Arial" w:cs="Arial" w:hAnsi="Arial"/>
                <w:color w:val="d83931"/>
                <w:sz w:val="22"/>
              </w:rPr>
              <w:t>理解开题意图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2、自下而上开题，确保开题人上级管理者理解开题意图，从而</w:t>
            </w:r>
            <w:r>
              <w:rPr>
                <w:rFonts w:eastAsia="等线" w:ascii="Arial" w:cs="Arial" w:hAnsi="Arial"/>
                <w:color w:val="d83931"/>
                <w:sz w:val="22"/>
              </w:rPr>
              <w:t>判断价值</w:t>
            </w:r>
            <w:r>
              <w:rPr>
                <w:rFonts w:eastAsia="等线" w:ascii="Arial" w:cs="Arial" w:hAnsi="Arial"/>
                <w:sz w:val="22"/>
              </w:rPr>
              <w:t>，确定是否需要开题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澄清达成一致才能进入下一个活动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市场洞察开题人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市场洞察接题人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确认的开题方向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明确的开题方向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开题澄清评审通过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开题澄清通过评审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该活动为新增活动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《开题澄清、联合开题等操作指导》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《开题澄清、联合开题等操作指导》</w:t>
              </w:r>
            </w:hyperlink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市场洞察开题报告一页纸模板V2.1-试点部门使用</w:t>
              </w:r>
            </w:hyperlink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设定开题目标和回答问题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1、明确联合接题人（如有）</w:t>
              <w:br/>
            </w:r>
            <w:r>
              <w:rPr>
                <w:rFonts w:eastAsia="等线" w:ascii="Arial" w:cs="Arial" w:hAnsi="Arial"/>
                <w:sz w:val="22"/>
              </w:rPr>
              <w:t>2、针对开题的方向及目标，撰写市场洞察开题报告，精准回答What及How的问题，以及时间计划；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市场洞察接题人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（包括联合接题人）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开题澄清评审通过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开题澄清通过评审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完整的开题报告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完整回答开题模板需要回答的问题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如有联合，与联合部门评审人沟通确定参与接题人选一起开展开题报告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包括联合接题人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市场洞察开题报告一页纸模板V2.1-试点部门使用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市场洞察（区域）开题报告一页纸模板V0.9</w:t>
              </w:r>
            </w:hyperlink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4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跟开题人对标共识目标计划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b w:val="true"/>
                <w:sz w:val="22"/>
              </w:rPr>
              <w:t>区域机会洞察不需要该步骤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针对完整的《市场洞察开题报告一页纸》与开题人进行目标，计划等共识拉通，得到评审意见；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市场洞察接题人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市场洞察开题人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完整的开题报告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完整回答开题模板需要回答的问题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和开题人达成一致的开题报告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开题报告通过开题人评审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课题分类星级评价及评审人矩阵v1.1</w:t>
              </w:r>
            </w:hyperlink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组织资源启动项目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评审通过后，组队启动开题立项，将通过的《市场洞察开题报告一页纸》与团队拉通共识，并正式启动解题。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市场洞察接题人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（包括联合接题人）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通过评审的开题报告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开题报告通过评审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洞察团队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团队组建完毕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包括联合接题人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区域机会洞察的流程区别：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1、不需要”002开题澄清与反馈“，区域是机动会共识后开题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2、不需要”004跟开题人对标共识目标计划“，区域课题相对简单，报告完成后直接评审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5.3.6 主要角色活动说明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color w:val="245bdb"/>
          <w:sz w:val="28"/>
        </w:rPr>
        <w:t xml:space="preserve">5.3.1.1 </w:t>
      </w:r>
      <w:r>
        <w:rPr>
          <w:rFonts w:eastAsia="等线" w:ascii="Arial" w:cs="Arial" w:hAnsi="Arial"/>
          <w:b w:val="true"/>
          <w:sz w:val="28"/>
        </w:rPr>
        <w:t>市场洞察接题人活动说明：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市场洞察接题人岗位：包括但不限于战略部、产品BU、解决方案部、系统部和区域平台部、国家等成员，按课题需求和来源确定接题人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区域机会洞察的接题人活动区别：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1、不需要”开题澄清与反馈“，区域是机动会共识后开题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2、不需要”跟开题人对标共识目标计划“，区域课题相对简单，报告完成后直接评审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区域机会洞察开题机制和“开题系统”操作指南，见</w:t>
      </w:r>
      <w:r>
        <w:rPr>
          <w:rFonts w:eastAsia="等线" w:ascii="Arial" w:cs="Arial" w:hAnsi="Arial"/>
          <w:sz w:val="22"/>
        </w:rPr>
        <w:br/>
      </w:r>
      <w:hyperlink r:id="rId16">
        <w:r>
          <w:rPr>
            <w:rFonts w:eastAsia="等线" w:ascii="Arial" w:cs="Arial" w:hAnsi="Arial"/>
            <w:color w:val="3370ff"/>
            <w:sz w:val="22"/>
          </w:rPr>
          <w:t>区域机会洞察开题运行机制说明v0.9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245bdb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关键活动指导书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KCP/KDP说明及指导书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70"/>
        <w:gridCol w:w="2415"/>
        <w:gridCol w:w="1140"/>
        <w:gridCol w:w="2355"/>
        <w:gridCol w:w="70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M2.2.2开题澄清与反馈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KDP：开题澄清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开题澄清：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1、自上而下开题，确保接题人</w:t>
            </w:r>
            <w:r>
              <w:rPr>
                <w:rFonts w:eastAsia="等线" w:ascii="Arial" w:cs="Arial" w:hAnsi="Arial"/>
                <w:color w:val="d83931"/>
                <w:sz w:val="22"/>
              </w:rPr>
              <w:t>理解开题意图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2、自下而上开题，确保开题人上级管理者理解开题意图，从而</w:t>
            </w:r>
            <w:r>
              <w:rPr>
                <w:rFonts w:eastAsia="等线" w:ascii="Arial" w:cs="Arial" w:hAnsi="Arial"/>
                <w:color w:val="d83931"/>
                <w:sz w:val="22"/>
              </w:rPr>
              <w:t>判断价值</w:t>
            </w:r>
            <w:r>
              <w:rPr>
                <w:rFonts w:eastAsia="等线" w:ascii="Arial" w:cs="Arial" w:hAnsi="Arial"/>
                <w:sz w:val="22"/>
              </w:rPr>
              <w:t>，确定是否需要开题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开题人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系统开题澄清节点通过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《开题澄清、联合开题等操作指导》</w:t>
              </w:r>
            </w:hyperlink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M2.2.2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设定开题目标和回答问题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KCP：联合开题（如有）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联合开题：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课题澄清后由</w:t>
            </w:r>
            <w:r>
              <w:rPr>
                <w:rFonts w:eastAsia="等线" w:ascii="Arial" w:cs="Arial" w:hAnsi="Arial"/>
                <w:color w:val="d83931"/>
                <w:sz w:val="22"/>
              </w:rPr>
              <w:t>接题人确定关联部门，和关联部门该课题的评审人沟通参与接题人选</w:t>
            </w:r>
            <w:r>
              <w:rPr>
                <w:rFonts w:eastAsia="等线" w:ascii="Arial" w:cs="Arial" w:hAnsi="Arial"/>
                <w:sz w:val="22"/>
              </w:rPr>
              <w:t>，联合进行后续开题报告的编写，联合参加开题评审。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主接题人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两种条件下必须联合开题：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1、需要其它部门投入资源联合解题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2、需要其它部门投入资源承接评审后课题的落地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原则上，关联产品和解决方案领域的开题，都需要产品BU、系统部、解决方案部联合开题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开题评审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KDP：开题评审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开题评审：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开题评审人，必须保持和结题评审人一致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部门内开题，由部门主管评审或指定人员评审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联合开题，由联合部门的主管评审或指定人员评审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自上而下开题，开题人必须参加评审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接题人部门主管/联合部门的主管/开题人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提前根据《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5-战略洞察开题质量标准V0.9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》做自检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《开题澄清、联合开题等操作指导》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课题分类星级评价及评审人矩阵v1.1</w:t>
              </w:r>
            </w:hyperlink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本文档自发布之日起至V1.0版本发布前生效。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color w:val="245bdb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流程运转机制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667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流程运转机制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M2.2 市场洞察开题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战略/市场洞察运作机制说明一页纸V0.9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区域机会洞察开题运行机制说明v0.9</w:t>
              </w:r>
            </w:hyperlink>
            <w:r>
              <w:rPr>
                <w:rFonts w:eastAsia="等线" w:ascii="Arial" w:cs="Arial" w:hAnsi="Arial"/>
                <w:sz w:val="22"/>
              </w:rPr>
              <w:t>（区域级）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color w:val="245bdb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IT系统支持表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2550"/>
        <w:gridCol w:w="1290"/>
        <w:gridCol w:w="765"/>
        <w:gridCol w:w="765"/>
        <w:gridCol w:w="1110"/>
        <w:gridCol w:w="94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IT系统当前状态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是否影响V0.9跑起来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提出人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实现时间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M2.2 市场洞察开题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1、系统支持联合开题及开题澄清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2、各级管理视图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【MI流程】IT系统支持——3月7日前开发完成</w:t>
              </w:r>
            </w:hyperlink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https://project.feishu.cn/ebg/ketiguanli/homepage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已有系统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项小升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已上线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bookmarkEnd w:id="25"/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851">
    <w:lvl>
      <w:start w:val="1"/>
      <w:numFmt w:val="decimal"/>
      <w:suff w:val="tab"/>
      <w:lvlText w:val="%1."/>
      <w:rPr>
        <w:color w:val="3370ff"/>
      </w:rPr>
    </w:lvl>
  </w:abstractNum>
  <w:abstractNum w:abstractNumId="12852">
    <w:lvl>
      <w:start w:val="2"/>
      <w:numFmt w:val="decimal"/>
      <w:suff w:val="tab"/>
      <w:lvlText w:val="%1."/>
      <w:rPr>
        <w:color w:val="3370ff"/>
      </w:rPr>
    </w:lvl>
  </w:abstractNum>
  <w:abstractNum w:abstractNumId="12853">
    <w:lvl>
      <w:start w:val="1"/>
      <w:numFmt w:val="decimal"/>
      <w:suff w:val="tab"/>
      <w:lvlText w:val="%1."/>
      <w:rPr>
        <w:color w:val="3370ff"/>
      </w:rPr>
    </w:lvl>
  </w:abstractNum>
  <w:abstractNum w:abstractNumId="12854">
    <w:lvl>
      <w:start w:val="2"/>
      <w:numFmt w:val="decimal"/>
      <w:suff w:val="tab"/>
      <w:lvlText w:val="%1."/>
      <w:rPr>
        <w:color w:val="3370ff"/>
      </w:rPr>
    </w:lvl>
  </w:abstractNum>
  <w:abstractNum w:abstractNumId="12855">
    <w:lvl>
      <w:start w:val="3"/>
      <w:numFmt w:val="decimal"/>
      <w:suff w:val="tab"/>
      <w:lvlText w:val="%1."/>
      <w:rPr>
        <w:color w:val="3370ff"/>
      </w:rPr>
    </w:lvl>
  </w:abstractNum>
  <w:abstractNum w:abstractNumId="12856">
    <w:lvl>
      <w:start w:val="1"/>
      <w:numFmt w:val="decimal"/>
      <w:suff w:val="tab"/>
      <w:lvlText w:val="%1."/>
      <w:rPr>
        <w:color w:val="3370ff"/>
      </w:rPr>
    </w:lvl>
  </w:abstractNum>
  <w:abstractNum w:abstractNumId="12857">
    <w:lvl>
      <w:start w:val="2"/>
      <w:numFmt w:val="decimal"/>
      <w:suff w:val="tab"/>
      <w:lvlText w:val="%1."/>
      <w:rPr>
        <w:color w:val="3370ff"/>
      </w:rPr>
    </w:lvl>
  </w:abstractNum>
  <w:abstractNum w:abstractNumId="12858">
    <w:lvl>
      <w:start w:val="1"/>
      <w:numFmt w:val="decimal"/>
      <w:suff w:val="tab"/>
      <w:lvlText w:val="%1."/>
      <w:rPr>
        <w:color w:val="3370ff"/>
      </w:rPr>
    </w:lvl>
  </w:abstractNum>
  <w:abstractNum w:abstractNumId="12859">
    <w:lvl>
      <w:start w:val="2"/>
      <w:numFmt w:val="decimal"/>
      <w:suff w:val="tab"/>
      <w:lvlText w:val="%1."/>
      <w:rPr>
        <w:color w:val="3370ff"/>
      </w:rPr>
    </w:lvl>
  </w:abstractNum>
  <w:abstractNum w:abstractNumId="12860">
    <w:lvl>
      <w:start w:val="3"/>
      <w:numFmt w:val="decimal"/>
      <w:suff w:val="tab"/>
      <w:lvlText w:val="%1."/>
      <w:rPr>
        <w:color w:val="3370ff"/>
      </w:rPr>
    </w:lvl>
  </w:abstractNum>
  <w:abstractNum w:abstractNumId="12861">
    <w:lvl>
      <w:start w:val="1"/>
      <w:numFmt w:val="decimal"/>
      <w:suff w:val="tab"/>
      <w:lvlText w:val="%1."/>
      <w:rPr>
        <w:color w:val="3370ff"/>
      </w:rPr>
    </w:lvl>
  </w:abstractNum>
  <w:abstractNum w:abstractNumId="12862">
    <w:lvl>
      <w:start w:val="2"/>
      <w:numFmt w:val="decimal"/>
      <w:suff w:val="tab"/>
      <w:lvlText w:val="%1."/>
      <w:rPr>
        <w:color w:val="3370ff"/>
      </w:rPr>
    </w:lvl>
  </w:abstractNum>
  <w:abstractNum w:abstractNumId="12863">
    <w:lvl>
      <w:start w:val="3"/>
      <w:numFmt w:val="decimal"/>
      <w:suff w:val="tab"/>
      <w:lvlText w:val="%1."/>
      <w:rPr>
        <w:color w:val="3370ff"/>
      </w:rPr>
    </w:lvl>
  </w:abstractNum>
  <w:abstractNum w:abstractNumId="12864">
    <w:lvl>
      <w:start w:val="4"/>
      <w:numFmt w:val="decimal"/>
      <w:suff w:val="tab"/>
      <w:lvlText w:val="%1."/>
      <w:rPr>
        <w:color w:val="3370ff"/>
      </w:rPr>
    </w:lvl>
  </w:abstractNum>
  <w:abstractNum w:abstractNumId="12865">
    <w:lvl>
      <w:start w:val="1"/>
      <w:numFmt w:val="decimal"/>
      <w:suff w:val="tab"/>
      <w:lvlText w:val="%1."/>
      <w:rPr>
        <w:color w:val="3370ff"/>
      </w:rPr>
    </w:lvl>
  </w:abstractNum>
  <w:abstractNum w:abstractNumId="12866">
    <w:lvl>
      <w:start w:val="2"/>
      <w:numFmt w:val="decimal"/>
      <w:suff w:val="tab"/>
      <w:lvlText w:val="%1."/>
      <w:rPr>
        <w:color w:val="3370ff"/>
      </w:rPr>
    </w:lvl>
  </w:abstractNum>
  <w:abstractNum w:abstractNumId="12867">
    <w:lvl>
      <w:start w:val="1"/>
      <w:numFmt w:val="decimal"/>
      <w:suff w:val="tab"/>
      <w:lvlText w:val="%1."/>
      <w:rPr>
        <w:color w:val="3370ff"/>
      </w:rPr>
    </w:lvl>
  </w:abstractNum>
  <w:abstractNum w:abstractNumId="12868">
    <w:lvl>
      <w:start w:val="2"/>
      <w:numFmt w:val="decimal"/>
      <w:suff w:val="tab"/>
      <w:lvlText w:val="%1."/>
      <w:rPr>
        <w:color w:val="3370ff"/>
      </w:rPr>
    </w:lvl>
  </w:abstractNum>
  <w:abstractNum w:abstractNumId="12869">
    <w:lvl>
      <w:start w:val="3"/>
      <w:numFmt w:val="decimal"/>
      <w:suff w:val="tab"/>
      <w:lvlText w:val="%1."/>
      <w:rPr>
        <w:color w:val="3370ff"/>
      </w:rPr>
    </w:lvl>
  </w:abstractNum>
  <w:abstractNum w:abstractNumId="12870">
    <w:lvl>
      <w:start w:val="1"/>
      <w:numFmt w:val="decimal"/>
      <w:suff w:val="tab"/>
      <w:lvlText w:val="%1."/>
      <w:rPr>
        <w:color w:val="3370ff"/>
      </w:rPr>
    </w:lvl>
  </w:abstractNum>
  <w:abstractNum w:abstractNumId="12871">
    <w:lvl>
      <w:start w:val="2"/>
      <w:numFmt w:val="decimal"/>
      <w:suff w:val="tab"/>
      <w:lvlText w:val="%1."/>
      <w:rPr>
        <w:color w:val="3370ff"/>
      </w:rPr>
    </w:lvl>
  </w:abstractNum>
  <w:abstractNum w:abstractNumId="12872">
    <w:lvl>
      <w:numFmt w:val="bullet"/>
      <w:suff w:val="tab"/>
      <w:lvlText w:val="•"/>
      <w:rPr>
        <w:color w:val="3370ff"/>
      </w:rPr>
    </w:lvl>
  </w:abstractNum>
  <w:abstractNum w:abstractNumId="12873">
    <w:lvl>
      <w:numFmt w:val="bullet"/>
      <w:suff w:val="tab"/>
      <w:lvlText w:val="•"/>
      <w:rPr>
        <w:color w:val="3370ff"/>
      </w:rPr>
    </w:lvl>
  </w:abstractNum>
  <w:abstractNum w:abstractNumId="12874">
    <w:lvl>
      <w:numFmt w:val="bullet"/>
      <w:suff w:val="tab"/>
      <w:lvlText w:val="•"/>
      <w:rPr>
        <w:color w:val="3370ff"/>
      </w:rPr>
    </w:lvl>
  </w:abstractNum>
  <w:abstractNum w:abstractNumId="12875">
    <w:lvl>
      <w:numFmt w:val="bullet"/>
      <w:suff w:val="tab"/>
      <w:lvlText w:val="•"/>
      <w:rPr>
        <w:color w:val="3370ff"/>
      </w:rPr>
    </w:lvl>
  </w:abstractNum>
  <w:abstractNum w:abstractNumId="12876">
    <w:lvl>
      <w:start w:val="1"/>
      <w:numFmt w:val="decimal"/>
      <w:suff w:val="tab"/>
      <w:lvlText w:val="%1."/>
      <w:rPr>
        <w:color w:val="3370ff"/>
      </w:rPr>
    </w:lvl>
  </w:abstractNum>
  <w:abstractNum w:abstractNumId="12877">
    <w:lvl>
      <w:numFmt w:val="bullet"/>
      <w:suff w:val="tab"/>
      <w:lvlText w:val="•"/>
      <w:rPr>
        <w:color w:val="3370ff"/>
      </w:rPr>
    </w:lvl>
  </w:abstractNum>
  <w:abstractNum w:abstractNumId="12878">
    <w:lvl>
      <w:numFmt w:val="bullet"/>
      <w:suff w:val="tab"/>
      <w:lvlText w:val="•"/>
      <w:rPr>
        <w:color w:val="3370ff"/>
      </w:rPr>
    </w:lvl>
  </w:abstractNum>
  <w:abstractNum w:abstractNumId="12879">
    <w:lvl>
      <w:numFmt w:val="bullet"/>
      <w:suff w:val="tab"/>
      <w:lvlText w:val="•"/>
      <w:rPr>
        <w:color w:val="3370ff"/>
      </w:rPr>
    </w:lvl>
  </w:abstractNum>
  <w:abstractNum w:abstractNumId="12880">
    <w:lvl>
      <w:numFmt w:val="bullet"/>
      <w:suff w:val="tab"/>
      <w:lvlText w:val="•"/>
      <w:rPr>
        <w:color w:val="3370ff"/>
      </w:rPr>
    </w:lvl>
  </w:abstractNum>
  <w:abstractNum w:abstractNumId="12881">
    <w:lvl>
      <w:numFmt w:val="bullet"/>
      <w:suff w:val="tab"/>
      <w:lvlText w:val="•"/>
      <w:rPr>
        <w:color w:val="3370ff"/>
      </w:rPr>
    </w:lvl>
  </w:abstractNum>
  <w:num w:numId="1">
    <w:abstractNumId w:val="12851"/>
  </w:num>
  <w:num w:numId="2">
    <w:abstractNumId w:val="12852"/>
  </w:num>
  <w:num w:numId="3">
    <w:abstractNumId w:val="12853"/>
  </w:num>
  <w:num w:numId="4">
    <w:abstractNumId w:val="12854"/>
  </w:num>
  <w:num w:numId="5">
    <w:abstractNumId w:val="12855"/>
  </w:num>
  <w:num w:numId="6">
    <w:abstractNumId w:val="12856"/>
  </w:num>
  <w:num w:numId="7">
    <w:abstractNumId w:val="12857"/>
  </w:num>
  <w:num w:numId="8">
    <w:abstractNumId w:val="12858"/>
  </w:num>
  <w:num w:numId="9">
    <w:abstractNumId w:val="12859"/>
  </w:num>
  <w:num w:numId="10">
    <w:abstractNumId w:val="12860"/>
  </w:num>
  <w:num w:numId="11">
    <w:abstractNumId w:val="12861"/>
  </w:num>
  <w:num w:numId="12">
    <w:abstractNumId w:val="12862"/>
  </w:num>
  <w:num w:numId="13">
    <w:abstractNumId w:val="12863"/>
  </w:num>
  <w:num w:numId="14">
    <w:abstractNumId w:val="12864"/>
  </w:num>
  <w:num w:numId="15">
    <w:abstractNumId w:val="12865"/>
  </w:num>
  <w:num w:numId="16">
    <w:abstractNumId w:val="12866"/>
  </w:num>
  <w:num w:numId="17">
    <w:abstractNumId w:val="12867"/>
  </w:num>
  <w:num w:numId="18">
    <w:abstractNumId w:val="12868"/>
  </w:num>
  <w:num w:numId="19">
    <w:abstractNumId w:val="12869"/>
  </w:num>
  <w:num w:numId="20">
    <w:abstractNumId w:val="12870"/>
  </w:num>
  <w:num w:numId="21">
    <w:abstractNumId w:val="12871"/>
  </w:num>
  <w:num w:numId="22">
    <w:abstractNumId w:val="12872"/>
  </w:num>
  <w:num w:numId="23">
    <w:abstractNumId w:val="12873"/>
  </w:num>
  <w:num w:numId="24">
    <w:abstractNumId w:val="12874"/>
  </w:num>
  <w:num w:numId="25">
    <w:abstractNumId w:val="12875"/>
  </w:num>
  <w:num w:numId="26">
    <w:abstractNumId w:val="12876"/>
  </w:num>
  <w:num w:numId="27">
    <w:abstractNumId w:val="12877"/>
  </w:num>
  <w:num w:numId="28">
    <w:abstractNumId w:val="12878"/>
  </w:num>
  <w:num w:numId="29">
    <w:abstractNumId w:val="12879"/>
  </w:num>
  <w:num w:numId="30">
    <w:abstractNumId w:val="12880"/>
  </w:num>
  <w:num w:numId="31">
    <w:abstractNumId w:val="128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https://ruijie.feishu.cn/wiki/Gq1XwtIPCih9fqkB7rwcnDtjnph" TargetMode="External" Type="http://schemas.openxmlformats.org/officeDocument/2006/relationships/hyperlink"/><Relationship Id="rId12" Target="https://ruijie.feishu.cn/wiki/ASWGw6zovi1SaikKjspcJenpnAb" TargetMode="External" Type="http://schemas.openxmlformats.org/officeDocument/2006/relationships/hyperlink"/><Relationship Id="rId13" Target="https://ruijie.feishu.cn/wiki/ASWGw6zovi1SaikKjspcJenpnAb" TargetMode="External" Type="http://schemas.openxmlformats.org/officeDocument/2006/relationships/hyperlink"/><Relationship Id="rId14" Target="https://ruijie.feishu.cn/wiki/EDDVw9NUeifB3skQgPXcBJ53nJs" TargetMode="External" Type="http://schemas.openxmlformats.org/officeDocument/2006/relationships/hyperlink"/><Relationship Id="rId15" Target="https://ruijie.feishu.cn/wiki/P9V8w09aXiWMbDkGyYqcJpjVnYe" TargetMode="External" Type="http://schemas.openxmlformats.org/officeDocument/2006/relationships/hyperlink"/><Relationship Id="rId16" Target="https://ruijie.feishu.cn/wiki/QHlKw2rHsiv0x0kYfAEcAetsnCg" TargetMode="External" Type="http://schemas.openxmlformats.org/officeDocument/2006/relationships/hyperlink"/><Relationship Id="rId17" Target="https://ruijie.feishu.cn/wiki/Gq1XwtIPCih9fqkB7rwcnDtjnph" TargetMode="External" Type="http://schemas.openxmlformats.org/officeDocument/2006/relationships/hyperlink"/><Relationship Id="rId18" Target="https://ruijie.feishu.cn/docx/Oqp2dyhkioSzmcxLmkfcVtHVnWb" TargetMode="External" Type="http://schemas.openxmlformats.org/officeDocument/2006/relationships/hyperlink"/><Relationship Id="rId19" Target="https://ruijie.feishu.cn/wiki/Gq1XwtIPCih9fqkB7rwcnDtjnph" TargetMode="External" Type="http://schemas.openxmlformats.org/officeDocument/2006/relationships/hyperlink"/><Relationship Id="rId2" Target="styles.xml" Type="http://schemas.openxmlformats.org/officeDocument/2006/relationships/styles"/><Relationship Id="rId20" Target="https://ruijie.feishu.cn/wiki/P9V8w09aXiWMbDkGyYqcJpjVnYe" TargetMode="External" Type="http://schemas.openxmlformats.org/officeDocument/2006/relationships/hyperlink"/><Relationship Id="rId21" Target="https://ruijie.feishu.cn/docx/L8cNdvReQosI3MxorV6c2Kn0nZf" TargetMode="External" Type="http://schemas.openxmlformats.org/officeDocument/2006/relationships/hyperlink"/><Relationship Id="rId22" Target="https://ruijie.feishu.cn/wiki/QHlKw2rHsiv0x0kYfAEcAetsnCg" TargetMode="External" Type="http://schemas.openxmlformats.org/officeDocument/2006/relationships/hyperlink"/><Relationship Id="rId23" Target="https://ruijie.feishu.cn/docx/QdSgdTvUuome9vxHgaucCvQKnBc?from=auth_notice&amp;hash=9da397f87db01200288d455a3d8210be" TargetMode="External" Type="http://schemas.openxmlformats.org/officeDocument/2006/relationships/hyperlink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ruijie.feishu.cn/wiki/P9V8w09aXiWMbDkGyYqcJpjVnYe" TargetMode="External" Type="http://schemas.openxmlformats.org/officeDocument/2006/relationships/hyperlink"/><Relationship Id="rId7" Target="media/image2.pn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2025-05-13T08:59:04Z</dcterms:created>
  <dc:creator>Apache POI</dc:creator>
</cp:coreProperties>
</file>