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M2.3 开展六看输出报告流程文件-V0.9</w:t>
      </w:r>
    </w:p>
    <w:p>
      <w:pPr>
        <w:spacing w:before="120" w:after="120" w:line="288" w:lineRule="auto"/>
        <w:ind w:left="0" w:firstLine="0"/>
        <w:jc w:val="left"/>
      </w:pPr>
      <w:r>
        <w:rPr>
          <w:rFonts w:eastAsia="等线" w:ascii="Arial" w:cs="Arial" w:hAnsi="Arial"/>
          <w:b w:val="true"/>
          <w:sz w:val="22"/>
        </w:rPr>
        <w:t>M2.3 开展六看输出报告流程文件-V0.9</w:t>
      </w:r>
    </w:p>
    <w:p>
      <w:pPr>
        <w:spacing w:before="120" w:after="120" w:line="288" w:lineRule="auto"/>
        <w:ind w:left="0" w:firstLine="0"/>
        <w:jc w:val="right"/>
      </w:pPr>
      <w:r>
        <w:rPr>
          <w:rFonts w:eastAsia="等线" w:ascii="Arial" w:cs="Arial" w:hAnsi="Arial"/>
          <w:sz w:val="22"/>
        </w:rPr>
        <w:t>密级：B</w:t>
      </w:r>
    </w:p>
    <w:p>
      <w:pPr>
        <w:spacing w:before="120" w:after="120" w:line="288" w:lineRule="auto"/>
        <w:ind w:left="0" w:firstLine="0"/>
        <w:jc w:val="left"/>
      </w:pPr>
    </w:p>
    <w:p>
      <w:pPr>
        <w:pStyle w:val="1"/>
        <w:spacing w:before="380" w:after="140" w:line="288" w:lineRule="auto"/>
        <w:ind w:left="0"/>
        <w:jc w:val="center"/>
        <w:outlineLvl w:val="0"/>
      </w:pPr>
      <w:bookmarkStart w:name="heading_0" w:id="0"/>
      <w:r>
        <w:rPr>
          <w:rFonts w:eastAsia="等线" w:ascii="Arial" w:cs="Arial" w:hAnsi="Arial"/>
          <w:b w:val="true"/>
          <w:sz w:val="36"/>
        </w:rPr>
        <w:t xml:space="preserve"> </w:t>
      </w:r>
      <w:bookmarkEnd w:id="0"/>
    </w:p>
    <w:p>
      <w:pPr>
        <w:pStyle w:val="1"/>
        <w:spacing w:before="380" w:after="140" w:line="288" w:lineRule="auto"/>
        <w:ind w:left="0"/>
        <w:jc w:val="center"/>
        <w:outlineLvl w:val="0"/>
      </w:pPr>
      <w:bookmarkStart w:name="heading_1" w:id="1"/>
      <w:r>
        <w:rPr>
          <w:rFonts w:eastAsia="等线" w:ascii="Arial" w:cs="Arial" w:hAnsi="Arial"/>
          <w:b w:val="true"/>
          <w:sz w:val="36"/>
        </w:rPr>
        <w:t>M2.3 开展六看输出报告的L3流程</w:t>
      </w:r>
      <w:bookmarkEnd w:id="1"/>
    </w:p>
    <w:p>
      <w:pPr>
        <w:spacing w:before="120" w:after="120" w:line="288" w:lineRule="auto"/>
        <w:ind w:left="0" w:firstLine="0"/>
        <w:jc w:val="left"/>
      </w:pPr>
    </w:p>
    <w:p>
      <w:pPr>
        <w:pStyle w:val="1"/>
        <w:spacing w:before="380" w:after="140" w:line="288" w:lineRule="auto"/>
        <w:ind w:left="0"/>
        <w:jc w:val="center"/>
        <w:outlineLvl w:val="0"/>
      </w:pPr>
      <w:bookmarkStart w:name="heading_2" w:id="2"/>
      <w:r>
        <w:rPr>
          <w:rFonts w:eastAsia="等线" w:ascii="Arial" w:cs="Arial" w:hAnsi="Arial"/>
          <w:b w:val="true"/>
          <w:sz w:val="36"/>
        </w:rPr>
        <w:t xml:space="preserve"> </w:t>
      </w:r>
      <w:bookmarkEnd w:id="2"/>
    </w:p>
    <w:p>
      <w:pPr>
        <w:spacing w:before="120" w:after="120" w:line="288" w:lineRule="auto"/>
        <w:ind w:left="0" w:firstLine="0"/>
        <w:jc w:val="center"/>
      </w:pPr>
      <w:r>
        <w:rPr>
          <w:rFonts w:eastAsia="等线" w:ascii="Arial" w:cs="Arial" w:hAnsi="Arial"/>
          <w:sz w:val="22"/>
        </w:rPr>
        <w:t xml:space="preserve">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95"/>
        <w:gridCol w:w="1395"/>
        <w:gridCol w:w="720"/>
        <w:gridCol w:w="1305"/>
        <w:gridCol w:w="1305"/>
        <w:gridCol w:w="2160"/>
      </w:tblGrid>
      <w:tr>
        <w:tc>
          <w:tcPr>
            <w:tcW w:w="481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文件名称：M2.3 开展六看输出报告流程说明文件</w:t>
            </w:r>
          </w:p>
        </w:tc>
        <w:tc>
          <w:tcPr>
            <w:tcW w:w="1395" w:type="dxa"/>
            <w:hMerge w:val="continue"/>
            <w:tcMar>
              <w:top w:type="dxa" w:w="60"/>
              <w:left w:type="dxa" w:w="120"/>
              <w:bottom w:type="dxa" w:w="30"/>
              <w:right w:type="dxa" w:w="120"/>
            </w:tcMar>
          </w:tcPr>
          <w:p>
            <w:pPr>
              <w:spacing w:before="120" w:after="120" w:line="288" w:lineRule="auto"/>
              <w:ind w:left="0"/>
              <w:jc w:val="left"/>
            </w:pPr>
          </w:p>
        </w:tc>
        <w:tc>
          <w:tcPr>
            <w:tcW w:w="720" w:type="dxa"/>
            <w:hMerge w:val="continue"/>
            <w:tcMar>
              <w:top w:type="dxa" w:w="60"/>
              <w:left w:type="dxa" w:w="120"/>
              <w:bottom w:type="dxa" w:w="30"/>
              <w:right w:type="dxa" w:w="120"/>
            </w:tcMar>
          </w:tcPr>
          <w:p>
            <w:pPr>
              <w:spacing w:before="120" w:after="120" w:line="288" w:lineRule="auto"/>
              <w:ind w:left="0"/>
              <w:jc w:val="left"/>
            </w:pPr>
          </w:p>
        </w:tc>
        <w:tc>
          <w:tcPr>
            <w:tcW w:w="1305" w:type="dxa"/>
            <w:hMerge w:val="continue"/>
            <w:tcMar>
              <w:top w:type="dxa" w:w="60"/>
              <w:left w:type="dxa" w:w="120"/>
              <w:bottom w:type="dxa" w:w="30"/>
              <w:right w:type="dxa" w:w="120"/>
            </w:tcMar>
          </w:tcPr>
          <w:p>
            <w:pPr>
              <w:spacing w:before="120" w:after="120" w:line="288" w:lineRule="auto"/>
              <w:ind w:left="0"/>
              <w:jc w:val="left"/>
            </w:pP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版本：V0.9</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密级：B</w:t>
            </w:r>
          </w:p>
        </w:tc>
      </w:tr>
      <w:tr>
        <w:tc>
          <w:tcPr>
            <w:tcW w:w="612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文件编号：MTCV-MI-M2.3-P-开展六看输出报告文件-V0.9</w:t>
            </w:r>
          </w:p>
        </w:tc>
        <w:tc>
          <w:tcPr>
            <w:tcW w:w="1395" w:type="dxa"/>
            <w:hMerge w:val="continue"/>
            <w:tcMar>
              <w:top w:type="dxa" w:w="60"/>
              <w:left w:type="dxa" w:w="120"/>
              <w:bottom w:type="dxa" w:w="30"/>
              <w:right w:type="dxa" w:w="120"/>
            </w:tcMar>
          </w:tcPr>
          <w:p>
            <w:pPr>
              <w:spacing w:before="120" w:after="120" w:line="288" w:lineRule="auto"/>
              <w:ind w:left="0"/>
              <w:jc w:val="left"/>
            </w:pPr>
          </w:p>
        </w:tc>
        <w:tc>
          <w:tcPr>
            <w:tcW w:w="720" w:type="dxa"/>
            <w:hMerge w:val="continue"/>
            <w:tcMar>
              <w:top w:type="dxa" w:w="60"/>
              <w:left w:type="dxa" w:w="120"/>
              <w:bottom w:type="dxa" w:w="30"/>
              <w:right w:type="dxa" w:w="120"/>
            </w:tcMar>
          </w:tcPr>
          <w:p>
            <w:pPr>
              <w:spacing w:before="120" w:after="120" w:line="288" w:lineRule="auto"/>
              <w:ind w:left="0"/>
              <w:jc w:val="left"/>
            </w:pPr>
          </w:p>
        </w:tc>
        <w:tc>
          <w:tcPr>
            <w:tcW w:w="1305" w:type="dxa"/>
            <w:hMerge w:val="continue"/>
            <w:tcMar>
              <w:top w:type="dxa" w:w="60"/>
              <w:left w:type="dxa" w:w="120"/>
              <w:bottom w:type="dxa" w:w="30"/>
              <w:right w:type="dxa" w:w="120"/>
            </w:tcMar>
          </w:tcPr>
          <w:p>
            <w:pPr>
              <w:spacing w:before="120" w:after="120" w:line="288" w:lineRule="auto"/>
              <w:ind w:left="0"/>
              <w:jc w:val="left"/>
            </w:pPr>
          </w:p>
        </w:tc>
        <w:tc>
          <w:tcPr>
            <w:tcW w:w="3465" w:type="dxa"/>
            <w:hMerge w:val="continue"/>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生效日期：2025/3/26</w:t>
            </w:r>
          </w:p>
        </w:tc>
        <w:tc>
          <w:tcPr>
            <w:tcW w:w="2160" w:type="dxa"/>
            <w:hMerge w:val="continue"/>
            <w:tcMar>
              <w:top w:type="dxa" w:w="60"/>
              <w:left w:type="dxa" w:w="120"/>
              <w:bottom w:type="dxa" w:w="30"/>
              <w:right w:type="dxa" w:w="120"/>
            </w:tcMar>
          </w:tcPr>
          <w:p>
            <w:pPr>
              <w:spacing w:before="120" w:after="120" w:line="288" w:lineRule="auto"/>
              <w:ind w:left="0"/>
              <w:jc w:val="left"/>
            </w:pP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流程L2 PO：项小升</w:t>
            </w:r>
          </w:p>
        </w:tc>
        <w:tc>
          <w:tcPr>
            <w:tcW w:w="472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流程L3 PO：仇健</w:t>
            </w:r>
          </w:p>
        </w:tc>
        <w:tc>
          <w:tcPr>
            <w:tcW w:w="720" w:type="dxa"/>
            <w:hMerge w:val="continue"/>
            <w:tcMar>
              <w:top w:type="dxa" w:w="60"/>
              <w:left w:type="dxa" w:w="120"/>
              <w:bottom w:type="dxa" w:w="30"/>
              <w:right w:type="dxa" w:w="120"/>
            </w:tcMar>
          </w:tcPr>
          <w:p>
            <w:pPr>
              <w:spacing w:before="120" w:after="120" w:line="288" w:lineRule="auto"/>
              <w:ind w:left="0"/>
              <w:jc w:val="left"/>
            </w:pPr>
          </w:p>
        </w:tc>
        <w:tc>
          <w:tcPr>
            <w:tcW w:w="4770" w:type="dxa"/>
            <w:hMerge w:val="continue"/>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流程组团队成员：Eric、李晓丽、王鑫睿、曹雪荣、俞啸东、康贤昆、肖文清、陈昌强、陈思行</w:t>
            </w:r>
          </w:p>
        </w:tc>
        <w:tc>
          <w:tcPr>
            <w:tcW w:w="1305" w:type="dxa"/>
            <w:hMerge w:val="continue"/>
            <w:hMerge w:val="continue"/>
            <w:tcMar>
              <w:top w:type="dxa" w:w="60"/>
              <w:left w:type="dxa" w:w="120"/>
              <w:bottom w:type="dxa" w:w="30"/>
              <w:right w:type="dxa" w:w="120"/>
            </w:tcMar>
          </w:tcPr>
          <w:p>
            <w:pPr>
              <w:spacing w:before="120" w:after="120" w:line="288" w:lineRule="auto"/>
              <w:ind w:left="0"/>
              <w:jc w:val="left"/>
            </w:pPr>
          </w:p>
        </w:tc>
        <w:tc>
          <w:tcPr>
            <w:tcW w:w="216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更 改   记 录</w:t>
            </w:r>
          </w:p>
        </w:tc>
        <w:tc>
          <w:tcPr>
            <w:tcW w:w="1395" w:type="dxa"/>
            <w:hMerge w:val="continue"/>
            <w:tcMar>
              <w:top w:type="dxa" w:w="60"/>
              <w:left w:type="dxa" w:w="120"/>
              <w:bottom w:type="dxa" w:w="30"/>
              <w:right w:type="dxa" w:w="120"/>
            </w:tcMar>
          </w:tcPr>
          <w:p>
            <w:pPr>
              <w:spacing w:before="120" w:after="120" w:line="288" w:lineRule="auto"/>
              <w:ind w:left="0"/>
              <w:jc w:val="left"/>
            </w:pPr>
          </w:p>
        </w:tc>
        <w:tc>
          <w:tcPr>
            <w:tcW w:w="720" w:type="dxa"/>
            <w:hMerge w:val="continue"/>
            <w:tcMar>
              <w:top w:type="dxa" w:w="60"/>
              <w:left w:type="dxa" w:w="120"/>
              <w:bottom w:type="dxa" w:w="30"/>
              <w:right w:type="dxa" w:w="120"/>
            </w:tcMar>
          </w:tcPr>
          <w:p>
            <w:pPr>
              <w:spacing w:before="120" w:after="120" w:line="288" w:lineRule="auto"/>
              <w:ind w:left="0"/>
              <w:jc w:val="left"/>
            </w:pPr>
          </w:p>
        </w:tc>
        <w:tc>
          <w:tcPr>
            <w:tcW w:w="1305" w:type="dxa"/>
            <w:hMerge w:val="continue"/>
            <w:tcMar>
              <w:top w:type="dxa" w:w="60"/>
              <w:left w:type="dxa" w:w="120"/>
              <w:bottom w:type="dxa" w:w="30"/>
              <w:right w:type="dxa" w:w="120"/>
            </w:tcMar>
          </w:tcPr>
          <w:p>
            <w:pPr>
              <w:spacing w:before="120" w:after="120" w:line="288" w:lineRule="auto"/>
              <w:ind w:left="0"/>
              <w:jc w:val="left"/>
            </w:pPr>
          </w:p>
        </w:tc>
        <w:tc>
          <w:tcPr>
            <w:tcW w:w="1305" w:type="dxa"/>
            <w:hMerge w:val="continue"/>
            <w:tcMar>
              <w:top w:type="dxa" w:w="60"/>
              <w:left w:type="dxa" w:w="120"/>
              <w:bottom w:type="dxa" w:w="30"/>
              <w:right w:type="dxa" w:w="120"/>
            </w:tcMar>
          </w:tcPr>
          <w:p>
            <w:pPr>
              <w:spacing w:before="120" w:after="120" w:line="288" w:lineRule="auto"/>
              <w:ind w:left="0"/>
              <w:jc w:val="left"/>
            </w:pPr>
          </w:p>
        </w:tc>
        <w:tc>
          <w:tcPr>
            <w:tcW w:w="2160" w:type="dxa"/>
            <w:hMerge w:val="continue"/>
            <w:tcMar>
              <w:top w:type="dxa" w:w="60"/>
              <w:left w:type="dxa" w:w="120"/>
              <w:bottom w:type="dxa" w:w="30"/>
              <w:right w:type="dxa" w:w="120"/>
            </w:tcMar>
          </w:tcPr>
          <w:p>
            <w:pPr>
              <w:spacing w:before="120" w:after="120" w:line="288" w:lineRule="auto"/>
              <w:ind w:left="0"/>
              <w:jc w:val="left"/>
            </w:pPr>
          </w:p>
        </w:tc>
      </w:tr>
      <w:tr>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版本号</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更改人</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审核人</w:t>
            </w:r>
          </w:p>
        </w:tc>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批准人</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生效日期</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更改内容</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V0.9</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流程PO：仇健</w:t>
            </w:r>
          </w:p>
          <w:p>
            <w:pPr>
              <w:spacing w:before="120" w:after="120" w:line="288" w:lineRule="auto"/>
              <w:ind w:left="0"/>
              <w:jc w:val="left"/>
            </w:pPr>
            <w:r>
              <w:rPr>
                <w:rFonts w:eastAsia="等线" w:ascii="Arial" w:cs="Arial" w:hAnsi="Arial"/>
                <w:sz w:val="22"/>
              </w:rPr>
              <w:t>流程PC：隋媛</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项小升</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EBG流程执委会</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2025-3-25</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首次发布</w:t>
            </w:r>
          </w:p>
        </w:tc>
      </w:tr>
      <w:tr>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720" w:type="dxa"/>
            <w:tcMar>
              <w:top w:type="dxa" w:w="60"/>
              <w:left w:type="dxa" w:w="120"/>
              <w:bottom w:type="dxa" w:w="30"/>
              <w:right w:type="dxa" w:w="120"/>
            </w:tcMar>
          </w:tcPr>
          <w:p>
            <w:pPr>
              <w:spacing w:before="120" w:after="120" w:line="288" w:lineRule="auto"/>
              <w:ind w:left="0"/>
              <w:jc w:val="left"/>
            </w:pPr>
          </w:p>
        </w:tc>
        <w:tc>
          <w:tcPr>
            <w:tcW w:w="1305" w:type="dxa"/>
            <w:tcMar>
              <w:top w:type="dxa" w:w="60"/>
              <w:left w:type="dxa" w:w="120"/>
              <w:bottom w:type="dxa" w:w="30"/>
              <w:right w:type="dxa" w:w="120"/>
            </w:tcMar>
          </w:tcPr>
          <w:p>
            <w:pPr>
              <w:spacing w:before="120" w:after="120" w:line="288" w:lineRule="auto"/>
              <w:ind w:left="0"/>
              <w:jc w:val="left"/>
            </w:pPr>
          </w:p>
        </w:tc>
        <w:tc>
          <w:tcPr>
            <w:tcW w:w="1305" w:type="dxa"/>
            <w:tcMar>
              <w:top w:type="dxa" w:w="60"/>
              <w:left w:type="dxa" w:w="120"/>
              <w:bottom w:type="dxa" w:w="30"/>
              <w:right w:type="dxa" w:w="120"/>
            </w:tcMar>
          </w:tcPr>
          <w:p>
            <w:pPr>
              <w:spacing w:before="120" w:after="120" w:line="288" w:lineRule="auto"/>
              <w:ind w:left="0"/>
              <w:jc w:val="left"/>
            </w:pPr>
          </w:p>
        </w:tc>
        <w:tc>
          <w:tcPr>
            <w:tcW w:w="2160" w:type="dxa"/>
            <w:tcMar>
              <w:top w:type="dxa" w:w="60"/>
              <w:left w:type="dxa" w:w="120"/>
              <w:bottom w:type="dxa" w:w="30"/>
              <w:right w:type="dxa" w:w="120"/>
            </w:tcMar>
          </w:tcPr>
          <w:p>
            <w:pPr>
              <w:spacing w:before="120" w:after="120" w:line="288" w:lineRule="auto"/>
              <w:ind w:left="0"/>
              <w:jc w:val="left"/>
            </w:pPr>
          </w:p>
        </w:tc>
      </w:tr>
      <w:tr>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720" w:type="dxa"/>
            <w:tcMar>
              <w:top w:type="dxa" w:w="60"/>
              <w:left w:type="dxa" w:w="120"/>
              <w:bottom w:type="dxa" w:w="30"/>
              <w:right w:type="dxa" w:w="120"/>
            </w:tcMar>
          </w:tcPr>
          <w:p>
            <w:pPr>
              <w:spacing w:before="120" w:after="120" w:line="288" w:lineRule="auto"/>
              <w:ind w:left="0"/>
              <w:jc w:val="left"/>
            </w:pPr>
          </w:p>
        </w:tc>
        <w:tc>
          <w:tcPr>
            <w:tcW w:w="1305" w:type="dxa"/>
            <w:tcMar>
              <w:top w:type="dxa" w:w="60"/>
              <w:left w:type="dxa" w:w="120"/>
              <w:bottom w:type="dxa" w:w="30"/>
              <w:right w:type="dxa" w:w="120"/>
            </w:tcMar>
          </w:tcPr>
          <w:p>
            <w:pPr>
              <w:spacing w:before="120" w:after="120" w:line="288" w:lineRule="auto"/>
              <w:ind w:left="0"/>
              <w:jc w:val="left"/>
            </w:pPr>
          </w:p>
        </w:tc>
        <w:tc>
          <w:tcPr>
            <w:tcW w:w="1305" w:type="dxa"/>
            <w:tcMar>
              <w:top w:type="dxa" w:w="60"/>
              <w:left w:type="dxa" w:w="120"/>
              <w:bottom w:type="dxa" w:w="30"/>
              <w:right w:type="dxa" w:w="120"/>
            </w:tcMar>
          </w:tcPr>
          <w:p>
            <w:pPr>
              <w:spacing w:before="120" w:after="120" w:line="288" w:lineRule="auto"/>
              <w:ind w:left="0"/>
              <w:jc w:val="left"/>
            </w:pPr>
          </w:p>
        </w:tc>
        <w:tc>
          <w:tcPr>
            <w:tcW w:w="2160" w:type="dxa"/>
            <w:tcMar>
              <w:top w:type="dxa" w:w="60"/>
              <w:left w:type="dxa" w:w="120"/>
              <w:bottom w:type="dxa" w:w="30"/>
              <w:right w:type="dxa" w:w="120"/>
            </w:tcMar>
          </w:tcPr>
          <w:p>
            <w:pPr>
              <w:spacing w:before="120" w:after="120" w:line="288" w:lineRule="auto"/>
              <w:ind w:left="0"/>
              <w:jc w:val="left"/>
            </w:pPr>
          </w:p>
        </w:tc>
      </w:tr>
      <w:tr>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720" w:type="dxa"/>
            <w:tcMar>
              <w:top w:type="dxa" w:w="60"/>
              <w:left w:type="dxa" w:w="120"/>
              <w:bottom w:type="dxa" w:w="30"/>
              <w:right w:type="dxa" w:w="120"/>
            </w:tcMar>
          </w:tcPr>
          <w:p>
            <w:pPr>
              <w:spacing w:before="120" w:after="120" w:line="288" w:lineRule="auto"/>
              <w:ind w:left="0"/>
              <w:jc w:val="left"/>
            </w:pPr>
          </w:p>
        </w:tc>
        <w:tc>
          <w:tcPr>
            <w:tcW w:w="1305" w:type="dxa"/>
            <w:tcMar>
              <w:top w:type="dxa" w:w="60"/>
              <w:left w:type="dxa" w:w="120"/>
              <w:bottom w:type="dxa" w:w="30"/>
              <w:right w:type="dxa" w:w="120"/>
            </w:tcMar>
          </w:tcPr>
          <w:p>
            <w:pPr>
              <w:spacing w:before="120" w:after="120" w:line="288" w:lineRule="auto"/>
              <w:ind w:left="0"/>
              <w:jc w:val="left"/>
            </w:pPr>
          </w:p>
        </w:tc>
        <w:tc>
          <w:tcPr>
            <w:tcW w:w="1305" w:type="dxa"/>
            <w:tcMar>
              <w:top w:type="dxa" w:w="60"/>
              <w:left w:type="dxa" w:w="120"/>
              <w:bottom w:type="dxa" w:w="30"/>
              <w:right w:type="dxa" w:w="120"/>
            </w:tcMar>
          </w:tcPr>
          <w:p>
            <w:pPr>
              <w:spacing w:before="120" w:after="120" w:line="288" w:lineRule="auto"/>
              <w:ind w:left="0"/>
              <w:jc w:val="left"/>
            </w:pPr>
          </w:p>
        </w:tc>
        <w:tc>
          <w:tcPr>
            <w:tcW w:w="2160" w:type="dxa"/>
            <w:tcMar>
              <w:top w:type="dxa" w:w="60"/>
              <w:left w:type="dxa" w:w="120"/>
              <w:bottom w:type="dxa" w:w="30"/>
              <w:right w:type="dxa" w:w="120"/>
            </w:tcMar>
          </w:tcPr>
          <w:p>
            <w:pPr>
              <w:spacing w:before="120" w:after="120" w:line="288" w:lineRule="auto"/>
              <w:ind w:left="0"/>
              <w:jc w:val="left"/>
            </w:pPr>
          </w:p>
        </w:tc>
      </w:tr>
    </w:tbl>
    <w:p>
      <w:pPr>
        <w:pStyle w:val="1"/>
        <w:spacing w:before="380" w:after="140" w:line="288" w:lineRule="auto"/>
        <w:ind w:left="0"/>
        <w:jc w:val="left"/>
        <w:outlineLvl w:val="0"/>
      </w:pPr>
      <w:bookmarkStart w:name="heading_3" w:id="3"/>
      <w:r>
        <w:rPr>
          <w:rFonts w:eastAsia="等线" w:ascii="Arial" w:cs="Arial" w:hAnsi="Arial"/>
          <w:b w:val="true"/>
          <w:color w:val="245bdb"/>
          <w:sz w:val="36"/>
        </w:rPr>
        <w:t xml:space="preserve">1. </w:t>
      </w:r>
      <w:r>
        <w:rPr>
          <w:rFonts w:eastAsia="等线" w:ascii="Arial" w:cs="Arial" w:hAnsi="Arial"/>
          <w:b w:val="true"/>
          <w:sz w:val="36"/>
        </w:rPr>
        <w:t>目的</w:t>
      </w:r>
      <w:bookmarkEnd w:id="3"/>
    </w:p>
    <w:p>
      <w:pPr>
        <w:spacing w:before="120" w:after="120" w:line="288" w:lineRule="auto"/>
        <w:ind w:left="0" w:firstLine="0"/>
        <w:jc w:val="left"/>
      </w:pPr>
      <w:r>
        <w:rPr>
          <w:rFonts w:eastAsia="等线" w:ascii="Arial" w:cs="Arial" w:hAnsi="Arial"/>
          <w:sz w:val="22"/>
        </w:rPr>
        <w:t>本流程针对开题人提出的市场洞察课题，通过</w:t>
      </w:r>
      <w:r>
        <w:rPr>
          <w:rFonts w:eastAsia="等线" w:ascii="Arial" w:cs="Arial" w:hAnsi="Arial"/>
          <w:color w:val="d83931"/>
          <w:sz w:val="22"/>
        </w:rPr>
        <w:t>看宏观，看市场，看客户，看产业，看竞争，看资金6个维度</w:t>
      </w:r>
      <w:r>
        <w:rPr>
          <w:rFonts w:eastAsia="等线" w:ascii="Arial" w:cs="Arial" w:hAnsi="Arial"/>
          <w:sz w:val="22"/>
        </w:rPr>
        <w:t>的合理组合，系统分析市场环境、客户需求、竞争动态、产业趋势，市场宏观等变化，形成完整的市场洞察报告，为锐捷经营决策提供依据，提升公司竞争力和经营效率。</w:t>
      </w:r>
    </w:p>
    <w:p>
      <w:pPr>
        <w:spacing w:before="120" w:after="120" w:line="288" w:lineRule="auto"/>
        <w:ind w:left="0" w:firstLine="0"/>
        <w:jc w:val="left"/>
      </w:pPr>
      <w:r>
        <w:rPr>
          <w:rFonts w:eastAsia="等线" w:ascii="Arial" w:cs="Arial" w:hAnsi="Arial"/>
          <w:sz w:val="22"/>
        </w:rPr>
        <w:t>本子流程清晰界定并规范开展市场洞察输出分析报告各环节，有效指导市场洞察活动，产出高质量市场洞察报告。</w:t>
      </w:r>
    </w:p>
    <w:p>
      <w:pPr>
        <w:pStyle w:val="1"/>
        <w:spacing w:before="380" w:after="140" w:line="288" w:lineRule="auto"/>
        <w:ind w:left="0"/>
        <w:jc w:val="left"/>
        <w:outlineLvl w:val="0"/>
      </w:pPr>
      <w:bookmarkStart w:name="heading_4" w:id="4"/>
      <w:r>
        <w:rPr>
          <w:rFonts w:eastAsia="等线" w:ascii="Arial" w:cs="Arial" w:hAnsi="Arial"/>
          <w:b w:val="true"/>
          <w:color w:val="245bdb"/>
          <w:sz w:val="36"/>
        </w:rPr>
        <w:t xml:space="preserve">2. </w:t>
      </w:r>
      <w:r>
        <w:rPr>
          <w:rFonts w:eastAsia="等线" w:ascii="Arial" w:cs="Arial" w:hAnsi="Arial"/>
          <w:b w:val="true"/>
          <w:sz w:val="36"/>
        </w:rPr>
        <w:t>适用范围</w:t>
      </w:r>
      <w:bookmarkEnd w:id="4"/>
    </w:p>
    <w:p>
      <w:pPr>
        <w:spacing w:before="120" w:after="120" w:line="288" w:lineRule="auto"/>
        <w:ind w:left="0" w:firstLine="0"/>
        <w:jc w:val="left"/>
      </w:pPr>
      <w:r>
        <w:rPr>
          <w:rFonts w:eastAsia="等线" w:ascii="Arial" w:cs="Arial" w:hAnsi="Arial"/>
          <w:sz w:val="22"/>
        </w:rPr>
        <w:t>本流程根据</w:t>
      </w:r>
      <w:r>
        <w:rPr>
          <w:rFonts w:eastAsia="等线" w:ascii="Arial" w:cs="Arial" w:hAnsi="Arial"/>
          <w:color w:val="d83931"/>
          <w:sz w:val="22"/>
        </w:rPr>
        <w:t>BG战略洞察、BU市场洞察、区域机会洞察3个洞察维度，</w:t>
      </w:r>
      <w:r>
        <w:rPr>
          <w:rFonts w:eastAsia="等线" w:ascii="Arial" w:cs="Arial" w:hAnsi="Arial"/>
          <w:sz w:val="22"/>
        </w:rPr>
        <w:t>适用于EBG的各个</w:t>
      </w:r>
      <w:r>
        <w:rPr>
          <w:rFonts w:eastAsia="等线" w:ascii="Arial" w:cs="Arial" w:hAnsi="Arial"/>
          <w:color w:val="d83931"/>
          <w:sz w:val="22"/>
        </w:rPr>
        <w:t>产品BU、战略部、解决方案部，系统部，平台管理部各区域及各国家</w:t>
      </w:r>
      <w:r>
        <w:rPr>
          <w:rFonts w:eastAsia="等线" w:ascii="Arial" w:cs="Arial" w:hAnsi="Arial"/>
          <w:sz w:val="22"/>
        </w:rPr>
        <w:t>。旨在通过系统化的流程设计，确保市场洞察的全面性和深入性。</w:t>
      </w:r>
    </w:p>
    <w:p>
      <w:pPr>
        <w:spacing w:before="120" w:after="120" w:line="288" w:lineRule="auto"/>
        <w:ind w:left="0" w:firstLine="0"/>
        <w:jc w:val="left"/>
      </w:pPr>
      <w:r>
        <w:rPr>
          <w:rFonts w:eastAsia="等线" w:ascii="Arial" w:cs="Arial" w:hAnsi="Arial"/>
          <w:sz w:val="22"/>
        </w:rPr>
        <w:t>本流程适用于新产品开发、进入新市场策略、区域、国家拓展规划等业务场景，覆盖了从宏观环境分析到客户洞察、市场环境变动、竞争分析、产业趋势、资金来源于流向的“六看”框架，帮助EBG市场洞察和机会洞察在复杂的市场环境中识别关键机会与潜在威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60"/>
        <w:gridCol w:w="1905"/>
        <w:gridCol w:w="1560"/>
        <w:gridCol w:w="3255"/>
      </w:tblGrid>
      <w:tr>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洞察类型</w:t>
            </w:r>
          </w:p>
        </w:tc>
        <w:tc>
          <w:tcPr>
            <w:tcW w:w="19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BG战略洞察</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BU市场洞察</w:t>
            </w:r>
          </w:p>
        </w:tc>
        <w:tc>
          <w:tcPr>
            <w:tcW w:w="32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区域机会洞察</w:t>
            </w:r>
          </w:p>
        </w:tc>
      </w:tr>
      <w:tr>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参与部门</w:t>
            </w:r>
          </w:p>
        </w:tc>
        <w:tc>
          <w:tcPr>
            <w:tcW w:w="346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战略部、产品BU、解决方案部、系统部</w:t>
            </w:r>
          </w:p>
        </w:tc>
        <w:tc>
          <w:tcPr>
            <w:tcW w:w="1560" w:type="dxa"/>
            <w:hMerge w:val="continue"/>
            <w:tcMar>
              <w:top w:type="dxa" w:w="60"/>
              <w:left w:type="dxa" w:w="120"/>
              <w:bottom w:type="dxa" w:w="30"/>
              <w:right w:type="dxa" w:w="120"/>
            </w:tcMar>
          </w:tcPr>
          <w:p>
            <w:pPr>
              <w:spacing w:before="120" w:after="120" w:line="288" w:lineRule="auto"/>
              <w:ind w:left="0"/>
              <w:jc w:val="left"/>
            </w:pPr>
          </w:p>
        </w:tc>
        <w:tc>
          <w:tcPr>
            <w:tcW w:w="32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平台管理部各区域/各国家</w:t>
            </w:r>
          </w:p>
        </w:tc>
      </w:tr>
    </w:tbl>
    <w:p>
      <w:pPr>
        <w:pStyle w:val="1"/>
        <w:spacing w:before="380" w:after="140" w:line="288" w:lineRule="auto"/>
        <w:ind w:left="0"/>
        <w:jc w:val="left"/>
        <w:outlineLvl w:val="0"/>
      </w:pPr>
      <w:bookmarkStart w:name="heading_5" w:id="5"/>
      <w:r>
        <w:rPr>
          <w:rFonts w:eastAsia="等线" w:ascii="Arial" w:cs="Arial" w:hAnsi="Arial"/>
          <w:b w:val="true"/>
          <w:color w:val="245bdb"/>
          <w:sz w:val="36"/>
        </w:rPr>
        <w:t xml:space="preserve">3. </w:t>
      </w:r>
      <w:r>
        <w:rPr>
          <w:rFonts w:eastAsia="等线" w:ascii="Arial" w:cs="Arial" w:hAnsi="Arial"/>
          <w:b w:val="true"/>
          <w:sz w:val="36"/>
        </w:rPr>
        <w:t>名词解释</w:t>
      </w:r>
      <w:bookmarkEnd w:id="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05"/>
        <w:gridCol w:w="795"/>
        <w:gridCol w:w="6195"/>
      </w:tblGrid>
      <w:tr>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名词</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英文全称</w:t>
            </w:r>
          </w:p>
        </w:tc>
        <w:tc>
          <w:tcPr>
            <w:tcW w:w="61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解释</w:t>
            </w:r>
          </w:p>
        </w:tc>
      </w:tr>
      <w:tr>
        <w:tc>
          <w:tcPr>
            <w:tcW w:w="1305"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center"/>
            </w:pPr>
            <w:r>
              <w:rPr>
                <w:rFonts w:eastAsia="等线" w:ascii="Arial" w:cs="Arial" w:hAnsi="Arial"/>
                <w:sz w:val="22"/>
              </w:rPr>
              <w:t>市场洞察六看</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NA</w:t>
            </w:r>
          </w:p>
        </w:tc>
        <w:tc>
          <w:tcPr>
            <w:tcW w:w="6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本文中的洞察六看指的是：</w:t>
            </w:r>
            <w:r>
              <w:rPr>
                <w:rFonts w:eastAsia="等线" w:ascii="Arial" w:cs="Arial" w:hAnsi="Arial"/>
                <w:color w:val="d83931"/>
                <w:sz w:val="22"/>
              </w:rPr>
              <w:t>看宏观，看市场，看客户，看产业/技术，看竞争，看资金</w:t>
            </w:r>
            <w:r>
              <w:rPr>
                <w:rFonts w:eastAsia="等线" w:ascii="Arial" w:cs="Arial" w:hAnsi="Arial"/>
                <w:sz w:val="22"/>
              </w:rPr>
              <w:t>6大类的洞察活动。通过开展这些洞察活动，全面把握细分市场状况和发展趋势，证实或证伪先验的假设或观点，发现市场机会与商业风险。</w:t>
            </w:r>
          </w:p>
          <w:p>
            <w:pPr>
              <w:spacing w:before="120" w:after="120" w:line="288" w:lineRule="auto"/>
              <w:ind w:left="0"/>
              <w:jc w:val="left"/>
            </w:pPr>
            <w:r>
              <w:rPr>
                <w:rFonts w:eastAsia="等线" w:ascii="Arial" w:cs="Arial" w:hAnsi="Arial"/>
                <w:sz w:val="22"/>
              </w:rPr>
              <w:t>开展哪些方面的市场洞察取决于特定目标，一次洞察可以包含6个方面，也可以针对某一或某几方面开展洞察，洞察的核心目的是发现市场变化，发展逻辑与趋势，识别机会、揭示风险、指导商业决策、最终增强企业竞争力，并不是僵化机械地开展所有方面的洞察。</w:t>
            </w:r>
          </w:p>
        </w:tc>
      </w:tr>
      <w:tr>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区域机会洞察</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NA</w:t>
            </w:r>
          </w:p>
        </w:tc>
        <w:tc>
          <w:tcPr>
            <w:tcW w:w="6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特指</w:t>
            </w:r>
            <w:r>
              <w:rPr>
                <w:rFonts w:eastAsia="等线" w:ascii="Arial" w:cs="Arial" w:hAnsi="Arial"/>
                <w:color w:val="d83931"/>
                <w:sz w:val="22"/>
              </w:rPr>
              <w:t>区域/国家层面开展的机会洞察</w:t>
            </w:r>
            <w:r>
              <w:rPr>
                <w:rFonts w:eastAsia="等线" w:ascii="Arial" w:cs="Arial" w:hAnsi="Arial"/>
                <w:sz w:val="22"/>
              </w:rPr>
              <w:t>，根据区域/国家侦听得到的线索，运用六看洞察方法，开展针对各区域/国家的机会洞察，用于发现该区域或者国家的关键机会与潜在威胁。</w:t>
            </w:r>
          </w:p>
        </w:tc>
      </w:tr>
      <w:tr>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洞察假设</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NA</w:t>
            </w:r>
          </w:p>
        </w:tc>
        <w:tc>
          <w:tcPr>
            <w:tcW w:w="6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面对错综复杂的市场信息和影响因素，或者陌生的领域，当缺少洞察思路时，可以借助洞察假设寻找市场分析方向和思路。先预设洞察方向，结合这些方向整理尽可能多的要素，围绕要素收集和整理证实或证伪的信息，最终确定洞察方向和思路。</w:t>
            </w:r>
          </w:p>
          <w:p>
            <w:pPr>
              <w:spacing w:before="120" w:after="120" w:line="288" w:lineRule="auto"/>
              <w:ind w:left="0"/>
              <w:jc w:val="left"/>
            </w:pPr>
            <w:r>
              <w:rPr>
                <w:rFonts w:eastAsia="等线" w:ascii="Arial" w:cs="Arial" w:hAnsi="Arial"/>
                <w:color w:val="d83931"/>
                <w:sz w:val="22"/>
              </w:rPr>
              <w:t>洞察假设需要包含证实和证伪两个方向。</w:t>
            </w:r>
            <w:r>
              <w:rPr>
                <w:rFonts w:eastAsia="等线" w:ascii="Arial" w:cs="Arial" w:hAnsi="Arial"/>
                <w:sz w:val="22"/>
              </w:rPr>
              <w:t>制定洞察假设存在风险，依赖个人能力和相关经验，很难判断提出假设是否正确，很难避免出现假设偏差或偏见</w:t>
            </w:r>
          </w:p>
          <w:p>
            <w:pPr>
              <w:spacing w:before="120" w:after="120" w:line="288" w:lineRule="auto"/>
              <w:ind w:left="0"/>
              <w:jc w:val="left"/>
            </w:pPr>
            <w:r>
              <w:rPr>
                <w:rFonts w:eastAsia="等线" w:ascii="Arial" w:cs="Arial" w:hAnsi="Arial"/>
                <w:sz w:val="22"/>
              </w:rPr>
              <w:t>例如，在洞察新能源汽车发展趋势，预测各类新能源车型增长趋势，市场份额占比时，历史样本空间小，各车型数据波动大，很难从历史数据推预测未来趋势。这种情况下，某洞察组大胆提出新能源车型的市场份额分布，增长方式与燃油车的市场结构趋同。在提出这个假设之后，找外部专家，产业专家，找客户和其他信息源调研用户购买与使用新能源不同车型的需求是否和燃油车趋同。为了求证假设是否成立，收集的信息和数据不同于确定了洞察思路和方向之后要收集和采集的信息和数据。</w:t>
            </w:r>
          </w:p>
        </w:tc>
      </w:tr>
    </w:tbl>
    <w:p>
      <w:pPr>
        <w:pStyle w:val="1"/>
        <w:spacing w:before="380" w:after="140" w:line="288" w:lineRule="auto"/>
        <w:ind w:left="0"/>
        <w:jc w:val="left"/>
        <w:outlineLvl w:val="0"/>
      </w:pPr>
      <w:bookmarkStart w:name="heading_6" w:id="6"/>
      <w:r>
        <w:rPr>
          <w:rFonts w:eastAsia="等线" w:ascii="Arial" w:cs="Arial" w:hAnsi="Arial"/>
          <w:b w:val="true"/>
          <w:color w:val="245bdb"/>
          <w:sz w:val="36"/>
        </w:rPr>
        <w:t xml:space="preserve">4. </w:t>
      </w:r>
      <w:r>
        <w:rPr>
          <w:rFonts w:eastAsia="等线" w:ascii="Arial" w:cs="Arial" w:hAnsi="Arial"/>
          <w:b w:val="true"/>
          <w:sz w:val="36"/>
        </w:rPr>
        <w:t>职责分工</w:t>
      </w:r>
      <w:bookmarkEnd w:id="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90"/>
        <w:gridCol w:w="1890"/>
        <w:gridCol w:w="5415"/>
      </w:tblGrid>
      <w:tr>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角色名称</w:t>
            </w:r>
          </w:p>
        </w:tc>
        <w:tc>
          <w:tcPr>
            <w:tcW w:w="18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对应职位/岗位</w:t>
            </w:r>
          </w:p>
        </w:tc>
        <w:tc>
          <w:tcPr>
            <w:tcW w:w="54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职责</w:t>
            </w:r>
          </w:p>
        </w:tc>
      </w:tr>
      <w:tr>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预评审人</w:t>
            </w:r>
          </w:p>
        </w:tc>
        <w:tc>
          <w:tcPr>
            <w:tcW w:w="1890" w:type="dxa"/>
            <w:tcMar>
              <w:top w:type="dxa" w:w="60"/>
              <w:left w:type="dxa" w:w="120"/>
              <w:bottom w:type="dxa" w:w="30"/>
              <w:right w:type="dxa" w:w="120"/>
            </w:tcMar>
          </w:tcPr>
          <w:p>
            <w:pPr>
              <w:numPr>
                <w:numId w:val="1"/>
              </w:numPr>
              <w:spacing w:before="120" w:after="120" w:line="288" w:lineRule="auto"/>
              <w:ind w:left="0"/>
              <w:jc w:val="left"/>
            </w:pPr>
            <w:r>
              <w:rPr>
                <w:rFonts w:eastAsia="等线" w:ascii="Arial" w:cs="Arial" w:hAnsi="Arial"/>
                <w:sz w:val="22"/>
              </w:rPr>
              <w:t>区域机会洞察：无</w:t>
            </w:r>
          </w:p>
          <w:p>
            <w:pPr>
              <w:numPr>
                <w:numId w:val="2"/>
              </w:numPr>
              <w:spacing w:before="120" w:after="120" w:line="288" w:lineRule="auto"/>
              <w:ind w:left="0"/>
              <w:jc w:val="left"/>
            </w:pPr>
            <w:r>
              <w:rPr>
                <w:rFonts w:eastAsia="等线" w:ascii="Arial" w:cs="Arial" w:hAnsi="Arial"/>
                <w:sz w:val="22"/>
              </w:rPr>
              <w:t>市场洞察（2星）：接题人直接主管</w:t>
            </w:r>
          </w:p>
          <w:p>
            <w:pPr>
              <w:numPr>
                <w:numId w:val="3"/>
              </w:numPr>
              <w:spacing w:before="120" w:after="120" w:line="288" w:lineRule="auto"/>
              <w:ind w:left="0"/>
              <w:jc w:val="left"/>
            </w:pPr>
            <w:r>
              <w:rPr>
                <w:rFonts w:eastAsia="等线" w:ascii="Arial" w:cs="Arial" w:hAnsi="Arial"/>
                <w:sz w:val="22"/>
              </w:rPr>
              <w:t>市场洞察（3星）：接题人直接主管，部门二级主管</w:t>
            </w:r>
          </w:p>
          <w:p>
            <w:pPr>
              <w:numPr>
                <w:numId w:val="4"/>
              </w:numPr>
              <w:spacing w:before="120" w:after="120" w:line="288" w:lineRule="auto"/>
              <w:ind w:left="0"/>
              <w:jc w:val="left"/>
            </w:pPr>
            <w:r>
              <w:rPr>
                <w:rFonts w:eastAsia="等线" w:ascii="Arial" w:cs="Arial" w:hAnsi="Arial"/>
                <w:sz w:val="22"/>
              </w:rPr>
              <w:t>市场洞察（4星）：部门二级部门主管</w:t>
            </w:r>
          </w:p>
          <w:p>
            <w:pPr>
              <w:numPr>
                <w:numId w:val="5"/>
              </w:numPr>
              <w:spacing w:before="120" w:after="120" w:line="288" w:lineRule="auto"/>
              <w:ind w:left="0"/>
              <w:jc w:val="left"/>
            </w:pPr>
            <w:r>
              <w:rPr>
                <w:rFonts w:eastAsia="等线" w:ascii="Arial" w:cs="Arial" w:hAnsi="Arial"/>
                <w:sz w:val="22"/>
              </w:rPr>
              <w:t>市场洞察（5星）：部门一级部门主管</w:t>
            </w:r>
          </w:p>
        </w:tc>
        <w:tc>
          <w:tcPr>
            <w:tcW w:w="5415" w:type="dxa"/>
            <w:tcMar>
              <w:top w:type="dxa" w:w="60"/>
              <w:left w:type="dxa" w:w="120"/>
              <w:bottom w:type="dxa" w:w="30"/>
              <w:right w:type="dxa" w:w="120"/>
            </w:tcMar>
          </w:tcPr>
          <w:p>
            <w:pPr>
              <w:numPr>
                <w:numId w:val="6"/>
              </w:numPr>
              <w:spacing w:before="120" w:after="120" w:line="288" w:lineRule="auto"/>
              <w:ind w:left="0"/>
              <w:jc w:val="left"/>
            </w:pPr>
            <w:r>
              <w:rPr>
                <w:rFonts w:eastAsia="等线" w:ascii="Arial" w:cs="Arial" w:hAnsi="Arial"/>
                <w:sz w:val="22"/>
              </w:rPr>
              <w:t>正式的评审决策前，对洞察分析的输出报告做质量把关</w:t>
            </w:r>
          </w:p>
          <w:p>
            <w:pPr>
              <w:spacing w:before="120" w:after="120" w:line="288" w:lineRule="auto"/>
              <w:ind w:left="0"/>
              <w:jc w:val="left"/>
            </w:pPr>
          </w:p>
          <w:p>
            <w:pPr>
              <w:spacing w:before="120" w:after="120" w:line="288" w:lineRule="auto"/>
              <w:ind w:left="0"/>
              <w:jc w:val="left"/>
            </w:pPr>
          </w:p>
        </w:tc>
      </w:tr>
      <w:tr>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洞察主接题人</w:t>
            </w:r>
          </w:p>
        </w:tc>
        <w:tc>
          <w:tcPr>
            <w:tcW w:w="1890" w:type="dxa"/>
            <w:tcMar>
              <w:top w:type="dxa" w:w="60"/>
              <w:left w:type="dxa" w:w="120"/>
              <w:bottom w:type="dxa" w:w="30"/>
              <w:right w:type="dxa" w:w="120"/>
            </w:tcMar>
          </w:tcPr>
          <w:p>
            <w:pPr>
              <w:numPr>
                <w:numId w:val="7"/>
              </w:numPr>
              <w:spacing w:before="120" w:after="120" w:line="288" w:lineRule="auto"/>
              <w:ind w:left="0"/>
              <w:jc w:val="left"/>
            </w:pPr>
            <w:r>
              <w:rPr>
                <w:rFonts w:eastAsia="等线" w:ascii="Arial" w:cs="Arial" w:hAnsi="Arial"/>
                <w:sz w:val="22"/>
              </w:rPr>
              <w:t>战略规划经理、解决方案经理，系统部拓展经理，产品BU（规划经理，系统规划和解决方案SE/SA，产品开发SE/架构师等）</w:t>
            </w:r>
          </w:p>
          <w:p>
            <w:pPr>
              <w:numPr>
                <w:numId w:val="8"/>
              </w:numPr>
              <w:spacing w:before="120" w:after="120" w:line="288" w:lineRule="auto"/>
              <w:ind w:left="0"/>
              <w:jc w:val="left"/>
            </w:pPr>
            <w:r>
              <w:rPr>
                <w:rFonts w:eastAsia="等线" w:ascii="Arial" w:cs="Arial" w:hAnsi="Arial"/>
                <w:b w:val="true"/>
                <w:sz w:val="22"/>
              </w:rPr>
              <w:t>区域平台</w:t>
            </w:r>
            <w:r>
              <w:rPr>
                <w:rFonts w:eastAsia="等线" w:ascii="Arial" w:cs="Arial" w:hAnsi="Arial"/>
                <w:sz w:val="22"/>
              </w:rPr>
              <w:t>（区域经理、技术经理、销售、售前、售后等）、国家区域经理</w:t>
            </w:r>
          </w:p>
        </w:tc>
        <w:tc>
          <w:tcPr>
            <w:tcW w:w="5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市场洞察六看流程的</w:t>
            </w:r>
            <w:r>
              <w:rPr>
                <w:rFonts w:eastAsia="等线" w:ascii="Arial" w:cs="Arial" w:hAnsi="Arial"/>
                <w:b w:val="true"/>
                <w:color w:val="d83931"/>
                <w:sz w:val="22"/>
              </w:rPr>
              <w:t>核心负责人</w:t>
            </w:r>
            <w:r>
              <w:rPr>
                <w:rFonts w:eastAsia="等线" w:ascii="Arial" w:cs="Arial" w:hAnsi="Arial"/>
                <w:color w:val="d83931"/>
                <w:sz w:val="22"/>
              </w:rPr>
              <w:t>与统筹者</w:t>
            </w:r>
            <w:r>
              <w:rPr>
                <w:rFonts w:eastAsia="等线" w:ascii="Arial" w:cs="Arial" w:hAnsi="Arial"/>
                <w:sz w:val="22"/>
              </w:rPr>
              <w:t>。负责明确洞察目标、制定洞察计划、监督执行过程，输出完整的市场洞察报告，对洞察报告的质量总负责，</w:t>
            </w:r>
            <w:r>
              <w:rPr>
                <w:rFonts w:eastAsia="等线" w:ascii="Arial" w:cs="Arial" w:hAnsi="Arial"/>
                <w:b w:val="true"/>
                <w:color w:val="d83931"/>
                <w:sz w:val="22"/>
              </w:rPr>
              <w:t>对子流程产出负最终责任。</w:t>
            </w:r>
          </w:p>
          <w:p>
            <w:pPr>
              <w:numPr>
                <w:numId w:val="9"/>
              </w:numPr>
              <w:spacing w:before="120" w:after="120" w:line="288" w:lineRule="auto"/>
              <w:ind w:left="0"/>
              <w:jc w:val="left"/>
            </w:pPr>
            <w:r>
              <w:rPr>
                <w:rFonts w:eastAsia="等线" w:ascii="Arial" w:cs="Arial" w:hAnsi="Arial"/>
                <w:sz w:val="22"/>
              </w:rPr>
              <w:t>对齐洞察要求，明确任务截止日期，获取相关资源</w:t>
            </w:r>
          </w:p>
          <w:p>
            <w:pPr>
              <w:numPr>
                <w:numId w:val="10"/>
              </w:numPr>
              <w:spacing w:before="120" w:after="120" w:line="288" w:lineRule="auto"/>
              <w:ind w:left="0"/>
              <w:jc w:val="left"/>
            </w:pPr>
            <w:r>
              <w:rPr>
                <w:rFonts w:eastAsia="等线" w:ascii="Arial" w:cs="Arial" w:hAnsi="Arial"/>
                <w:sz w:val="22"/>
              </w:rPr>
              <w:t>制定洞察计划，与必要的专家分工协作，按时完成洞察报告</w:t>
            </w:r>
          </w:p>
          <w:p>
            <w:pPr>
              <w:numPr>
                <w:numId w:val="11"/>
              </w:numPr>
              <w:spacing w:before="120" w:after="120" w:line="288" w:lineRule="auto"/>
              <w:ind w:left="0"/>
              <w:jc w:val="left"/>
            </w:pPr>
            <w:r>
              <w:rPr>
                <w:rFonts w:eastAsia="等线" w:ascii="Arial" w:cs="Arial" w:hAnsi="Arial"/>
                <w:sz w:val="22"/>
              </w:rPr>
              <w:t>收集、整理和分析市场数据，验证信息真伪</w:t>
            </w:r>
          </w:p>
          <w:p>
            <w:pPr>
              <w:numPr>
                <w:numId w:val="12"/>
              </w:numPr>
              <w:spacing w:before="120" w:after="120" w:line="288" w:lineRule="auto"/>
              <w:ind w:left="0"/>
              <w:jc w:val="left"/>
            </w:pPr>
            <w:r>
              <w:rPr>
                <w:rFonts w:eastAsia="等线" w:ascii="Arial" w:cs="Arial" w:hAnsi="Arial"/>
                <w:sz w:val="22"/>
              </w:rPr>
              <w:t>整合各方面的洞察输出，梳理逻辑链和价值链，负责形成故事线，发现市场机会、商业风险</w:t>
            </w:r>
          </w:p>
          <w:p>
            <w:pPr>
              <w:numPr>
                <w:numId w:val="13"/>
              </w:numPr>
              <w:spacing w:before="120" w:after="120" w:line="288" w:lineRule="auto"/>
              <w:ind w:left="0"/>
              <w:jc w:val="left"/>
            </w:pPr>
            <w:r>
              <w:rPr>
                <w:rFonts w:eastAsia="等线" w:ascii="Arial" w:cs="Arial" w:hAnsi="Arial"/>
                <w:sz w:val="22"/>
              </w:rPr>
              <w:t>输出洞察报告，保证报告高质量</w:t>
            </w:r>
          </w:p>
          <w:p>
            <w:pPr>
              <w:numPr>
                <w:numId w:val="14"/>
              </w:numPr>
              <w:spacing w:before="120" w:after="120" w:line="288" w:lineRule="auto"/>
              <w:ind w:left="0"/>
              <w:jc w:val="left"/>
            </w:pPr>
            <w:r>
              <w:rPr>
                <w:rFonts w:eastAsia="等线" w:ascii="Arial" w:cs="Arial" w:hAnsi="Arial"/>
                <w:sz w:val="22"/>
              </w:rPr>
              <w:t>作为第一责任人参与洞察评审，组织修订洞察报告，完成报告归档</w:t>
            </w:r>
          </w:p>
        </w:tc>
      </w:tr>
      <w:tr>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联合接题人</w:t>
            </w:r>
          </w:p>
        </w:tc>
        <w:tc>
          <w:tcPr>
            <w:tcW w:w="1890" w:type="dxa"/>
            <w:tcMar>
              <w:top w:type="dxa" w:w="60"/>
              <w:left w:type="dxa" w:w="120"/>
              <w:bottom w:type="dxa" w:w="30"/>
              <w:right w:type="dxa" w:w="120"/>
            </w:tcMar>
          </w:tcPr>
          <w:p>
            <w:pPr>
              <w:numPr>
                <w:numId w:val="15"/>
              </w:numPr>
              <w:spacing w:before="120" w:after="120" w:line="288" w:lineRule="auto"/>
              <w:ind w:left="0"/>
              <w:jc w:val="left"/>
            </w:pPr>
            <w:r>
              <w:rPr>
                <w:rFonts w:eastAsia="等线" w:ascii="Arial" w:cs="Arial" w:hAnsi="Arial"/>
                <w:sz w:val="22"/>
              </w:rPr>
              <w:t>战略规划经理、解决方案经理，系统部拓展，产品BU（规划经理，系统规划和解决方案SE/SA，产品开发SE/架构师等）</w:t>
            </w:r>
          </w:p>
          <w:p>
            <w:pPr>
              <w:numPr>
                <w:numId w:val="16"/>
              </w:numPr>
              <w:spacing w:before="120" w:after="120" w:line="288" w:lineRule="auto"/>
              <w:ind w:left="0"/>
              <w:jc w:val="left"/>
            </w:pPr>
            <w:r>
              <w:rPr>
                <w:rFonts w:eastAsia="等线" w:ascii="Arial" w:cs="Arial" w:hAnsi="Arial"/>
                <w:b w:val="true"/>
                <w:sz w:val="22"/>
              </w:rPr>
              <w:t>区域平台</w:t>
            </w:r>
            <w:r>
              <w:rPr>
                <w:rFonts w:eastAsia="等线" w:ascii="Arial" w:cs="Arial" w:hAnsi="Arial"/>
                <w:sz w:val="22"/>
              </w:rPr>
              <w:t>（区域经理、技术经理、销售、售前、售后等）、国家区域经理</w:t>
            </w:r>
          </w:p>
        </w:tc>
        <w:tc>
          <w:tcPr>
            <w:tcW w:w="5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多领域协同洞察的执行者，</w:t>
            </w:r>
            <w:r>
              <w:rPr>
                <w:rFonts w:eastAsia="等线" w:ascii="Arial" w:cs="Arial" w:hAnsi="Arial"/>
                <w:b w:val="true"/>
                <w:color w:val="d83931"/>
                <w:sz w:val="22"/>
              </w:rPr>
              <w:t>承担专项维度研究任务</w:t>
            </w:r>
            <w:r>
              <w:rPr>
                <w:rFonts w:eastAsia="等线" w:ascii="Arial" w:cs="Arial" w:hAnsi="Arial"/>
                <w:color w:val="d83931"/>
                <w:sz w:val="22"/>
              </w:rPr>
              <w:t>。</w:t>
            </w:r>
            <w:r>
              <w:rPr>
                <w:rFonts w:eastAsia="等线" w:ascii="Arial" w:cs="Arial" w:hAnsi="Arial"/>
                <w:sz w:val="22"/>
              </w:rPr>
              <w:t>基于专业视角输出子模块洞察结论与策略建议，撰写洞察报告相关章节，全程参与质量评审与修订迭代，</w:t>
            </w:r>
            <w:r>
              <w:rPr>
                <w:rFonts w:eastAsia="等线" w:ascii="Arial" w:cs="Arial" w:hAnsi="Arial"/>
                <w:b w:val="true"/>
                <w:color w:val="d83931"/>
                <w:sz w:val="22"/>
              </w:rPr>
              <w:t>对分管模块的准确性及商业价值负责</w:t>
            </w:r>
            <w:r>
              <w:rPr>
                <w:rFonts w:eastAsia="等线" w:ascii="Arial" w:cs="Arial" w:hAnsi="Arial"/>
                <w:color w:val="d83931"/>
                <w:sz w:val="22"/>
              </w:rPr>
              <w:t>。</w:t>
            </w:r>
          </w:p>
          <w:p>
            <w:pPr>
              <w:numPr>
                <w:numId w:val="17"/>
              </w:numPr>
              <w:spacing w:before="120" w:after="120" w:line="288" w:lineRule="auto"/>
              <w:ind w:left="0"/>
              <w:jc w:val="left"/>
            </w:pPr>
            <w:r>
              <w:rPr>
                <w:rFonts w:eastAsia="等线" w:ascii="Arial" w:cs="Arial" w:hAnsi="Arial"/>
                <w:sz w:val="22"/>
              </w:rPr>
              <w:t>当洞察课题涉及的领域较多，洞察主解题人需要多维专家分工协作时，联合解题人将分担部分洞察子任务，协助完成洞察报告。</w:t>
            </w:r>
          </w:p>
          <w:p>
            <w:pPr>
              <w:numPr>
                <w:numId w:val="18"/>
              </w:numPr>
              <w:spacing w:before="120" w:after="120" w:line="288" w:lineRule="auto"/>
              <w:ind w:left="0"/>
              <w:jc w:val="left"/>
            </w:pPr>
            <w:r>
              <w:rPr>
                <w:rFonts w:eastAsia="等线" w:ascii="Arial" w:cs="Arial" w:hAnsi="Arial"/>
                <w:sz w:val="22"/>
              </w:rPr>
              <w:t>与洞察主解题人对齐洞察要求，明确任务截止日期，获取相关资源</w:t>
            </w:r>
          </w:p>
          <w:p>
            <w:pPr>
              <w:numPr>
                <w:numId w:val="19"/>
              </w:numPr>
              <w:spacing w:before="120" w:after="120" w:line="288" w:lineRule="auto"/>
              <w:ind w:left="0"/>
              <w:jc w:val="left"/>
            </w:pPr>
            <w:r>
              <w:rPr>
                <w:rFonts w:eastAsia="等线" w:ascii="Arial" w:cs="Arial" w:hAnsi="Arial"/>
                <w:sz w:val="22"/>
              </w:rPr>
              <w:t>按时完成洞察子任务，并保证子任务输出质量</w:t>
            </w:r>
          </w:p>
          <w:p>
            <w:pPr>
              <w:numPr>
                <w:numId w:val="20"/>
              </w:numPr>
              <w:spacing w:before="120" w:after="120" w:line="288" w:lineRule="auto"/>
              <w:ind w:left="0"/>
              <w:jc w:val="left"/>
            </w:pPr>
            <w:r>
              <w:rPr>
                <w:rFonts w:eastAsia="等线" w:ascii="Arial" w:cs="Arial" w:hAnsi="Arial"/>
                <w:sz w:val="22"/>
              </w:rPr>
              <w:t>收集、整理和分析市场数据，验证信息真伪</w:t>
            </w:r>
          </w:p>
          <w:p>
            <w:pPr>
              <w:numPr>
                <w:numId w:val="21"/>
              </w:numPr>
              <w:spacing w:before="120" w:after="120" w:line="288" w:lineRule="auto"/>
              <w:ind w:left="0"/>
              <w:jc w:val="left"/>
            </w:pPr>
            <w:r>
              <w:rPr>
                <w:rFonts w:eastAsia="等线" w:ascii="Arial" w:cs="Arial" w:hAnsi="Arial"/>
                <w:sz w:val="22"/>
              </w:rPr>
              <w:t>形成子领域洞察观点和针对这些观点的建议</w:t>
            </w:r>
          </w:p>
          <w:p>
            <w:pPr>
              <w:numPr>
                <w:numId w:val="22"/>
              </w:numPr>
              <w:spacing w:before="120" w:after="120" w:line="288" w:lineRule="auto"/>
              <w:ind w:left="0"/>
              <w:jc w:val="left"/>
            </w:pPr>
            <w:r>
              <w:rPr>
                <w:rFonts w:eastAsia="等线" w:ascii="Arial" w:cs="Arial" w:hAnsi="Arial"/>
                <w:sz w:val="22"/>
              </w:rPr>
              <w:t>参与编写洞察报告，协助洞察主解题人输出高质量报告</w:t>
            </w:r>
          </w:p>
          <w:p>
            <w:pPr>
              <w:numPr>
                <w:numId w:val="23"/>
              </w:numPr>
              <w:spacing w:before="120" w:after="120" w:line="288" w:lineRule="auto"/>
              <w:ind w:left="0"/>
              <w:jc w:val="left"/>
            </w:pPr>
            <w:r>
              <w:rPr>
                <w:rFonts w:eastAsia="等线" w:ascii="Arial" w:cs="Arial" w:hAnsi="Arial"/>
                <w:sz w:val="22"/>
              </w:rPr>
              <w:t>参与洞察评审，修订洞察报告</w:t>
            </w:r>
          </w:p>
        </w:tc>
      </w:tr>
    </w:tbl>
    <w:p>
      <w:pPr>
        <w:pStyle w:val="1"/>
        <w:spacing w:before="380" w:after="140" w:line="288" w:lineRule="auto"/>
        <w:ind w:left="0"/>
        <w:jc w:val="left"/>
        <w:outlineLvl w:val="0"/>
      </w:pPr>
      <w:bookmarkStart w:name="heading_7" w:id="7"/>
      <w:r>
        <w:rPr>
          <w:rFonts w:eastAsia="等线" w:ascii="Arial" w:cs="Arial" w:hAnsi="Arial"/>
          <w:b w:val="true"/>
          <w:color w:val="245bdb"/>
          <w:sz w:val="36"/>
        </w:rPr>
        <w:t xml:space="preserve">5. </w:t>
      </w:r>
      <w:r>
        <w:rPr>
          <w:rFonts w:eastAsia="等线" w:ascii="Arial" w:cs="Arial" w:hAnsi="Arial"/>
          <w:b w:val="true"/>
          <w:sz w:val="36"/>
        </w:rPr>
        <w:t>流程文件说明</w:t>
      </w:r>
      <w:bookmarkEnd w:id="7"/>
    </w:p>
    <w:p>
      <w:pPr>
        <w:pStyle w:val="1"/>
        <w:spacing w:before="380" w:after="140" w:line="288" w:lineRule="auto"/>
        <w:ind w:left="0"/>
        <w:jc w:val="left"/>
        <w:outlineLvl w:val="0"/>
      </w:pPr>
      <w:bookmarkStart w:name="heading_8" w:id="8"/>
      <w:r>
        <w:rPr>
          <w:rFonts w:eastAsia="等线" w:ascii="Arial" w:cs="Arial" w:hAnsi="Arial"/>
          <w:b w:val="true"/>
          <w:sz w:val="36"/>
        </w:rPr>
        <w:t>市场洞察</w:t>
      </w:r>
      <w:bookmarkEnd w:id="8"/>
    </w:p>
    <w:p>
      <w:pPr>
        <w:pStyle w:val="2"/>
        <w:spacing w:before="320" w:after="120" w:line="288" w:lineRule="auto"/>
        <w:ind w:left="0"/>
        <w:jc w:val="left"/>
        <w:outlineLvl w:val="1"/>
      </w:pPr>
      <w:bookmarkStart w:name="heading_9" w:id="9"/>
      <w:r>
        <w:rPr>
          <w:rFonts w:eastAsia="等线" w:ascii="Arial" w:cs="Arial" w:hAnsi="Arial"/>
          <w:b w:val="true"/>
          <w:color w:val="245bdb"/>
          <w:sz w:val="32"/>
        </w:rPr>
        <w:t xml:space="preserve">5.1 </w:t>
      </w:r>
      <w:r>
        <w:rPr>
          <w:rFonts w:eastAsia="等线" w:ascii="Arial" w:cs="Arial" w:hAnsi="Arial"/>
          <w:b w:val="true"/>
          <w:sz w:val="32"/>
        </w:rPr>
        <w:t xml:space="preserve">流程卡 </w:t>
      </w:r>
      <w:bookmarkEnd w:id="9"/>
    </w:p>
    <w:p>
      <w:pPr>
        <w:spacing w:before="120" w:after="120" w:line="288" w:lineRule="auto"/>
        <w:ind w:left="0" w:firstLine="0"/>
        <w:jc w:val="center"/>
      </w:pPr>
      <w:r>
        <w:rPr>
          <w:rFonts w:eastAsia="等线" w:ascii="Arial" w:cs="Arial" w:hAnsi="Arial"/>
          <w:b w:val="true"/>
          <w:sz w:val="22"/>
        </w:rPr>
        <w:t>点击图片可查看完整电子表格</w:t>
      </w:r>
    </w:p>
    <w:p>
      <w:pPr>
        <w:spacing w:before="120" w:after="120" w:line="288" w:lineRule="auto"/>
        <w:ind w:left="0" w:firstLine="0"/>
        <w:jc w:val="left"/>
      </w:pPr>
    </w:p>
    <w:p>
      <w:pPr>
        <w:pStyle w:val="2"/>
        <w:spacing w:before="320" w:after="120" w:line="288" w:lineRule="auto"/>
        <w:ind w:left="0"/>
        <w:jc w:val="left"/>
        <w:outlineLvl w:val="1"/>
      </w:pPr>
      <w:bookmarkStart w:name="heading_10" w:id="10"/>
      <w:r>
        <w:rPr>
          <w:rFonts w:eastAsia="等线" w:ascii="Arial" w:cs="Arial" w:hAnsi="Arial"/>
          <w:b w:val="true"/>
          <w:color w:val="245bdb"/>
          <w:sz w:val="32"/>
        </w:rPr>
        <w:t xml:space="preserve">5.2 </w:t>
      </w:r>
      <w:r>
        <w:rPr>
          <w:rFonts w:eastAsia="等线" w:ascii="Arial" w:cs="Arial" w:hAnsi="Arial"/>
          <w:b w:val="true"/>
          <w:sz w:val="32"/>
        </w:rPr>
        <w:t>流程图</w:t>
      </w:r>
      <w:bookmarkEnd w:id="10"/>
    </w:p>
    <w:p>
      <w:pPr>
        <w:pStyle w:val="3"/>
        <w:spacing w:before="300" w:after="120" w:line="288" w:lineRule="auto"/>
        <w:ind w:left="0"/>
        <w:jc w:val="left"/>
        <w:outlineLvl w:val="2"/>
      </w:pPr>
      <w:bookmarkStart w:name="heading_11" w:id="11"/>
      <w:r>
        <w:rPr>
          <w:rFonts w:eastAsia="等线" w:ascii="Arial" w:cs="Arial" w:hAnsi="Arial"/>
          <w:b w:val="true"/>
          <w:color w:val="245bdb"/>
          <w:sz w:val="30"/>
        </w:rPr>
        <w:t xml:space="preserve">5.2.1 </w:t>
      </w:r>
      <w:r>
        <w:rPr>
          <w:rFonts w:eastAsia="等线" w:ascii="Arial" w:cs="Arial" w:hAnsi="Arial"/>
          <w:b w:val="true"/>
          <w:sz w:val="30"/>
        </w:rPr>
        <w:t>L2流程框架（键盘图）</w:t>
      </w:r>
      <w:bookmarkEnd w:id="11"/>
    </w:p>
    <w:p>
      <w:pPr>
        <w:spacing w:before="120" w:after="120" w:line="288" w:lineRule="auto"/>
        <w:ind w:left="0" w:firstLine="420"/>
        <w:jc w:val="left"/>
      </w:pPr>
      <w:r>
        <w:rPr>
          <w:rFonts w:eastAsia="等线" w:ascii="Arial" w:cs="Arial" w:hAnsi="Arial"/>
          <w:b w:val="true"/>
          <w:sz w:val="22"/>
        </w:rPr>
        <w:t>1、L2流程键盘图</w:t>
      </w:r>
    </w:p>
    <w:p>
      <w:pPr>
        <w:spacing w:before="120" w:after="120" w:line="288" w:lineRule="auto"/>
        <w:ind w:left="0"/>
        <w:jc w:val="center"/>
      </w:pPr>
      <w:r>
        <w:drawing>
          <wp:inline distT="0" distR="0" distB="0" distL="0">
            <wp:extent cx="5257800" cy="18859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1885950"/>
                    </a:xfrm>
                    <a:prstGeom prst="rect">
                      <a:avLst/>
                    </a:prstGeom>
                  </pic:spPr>
                </pic:pic>
              </a:graphicData>
            </a:graphic>
          </wp:inline>
        </w:drawing>
      </w:r>
    </w:p>
    <w:p>
      <w:pPr>
        <w:spacing w:before="120" w:after="120" w:line="288" w:lineRule="auto"/>
        <w:ind w:left="0" w:firstLine="420"/>
        <w:jc w:val="left"/>
      </w:pPr>
    </w:p>
    <w:p>
      <w:pPr>
        <w:pStyle w:val="3"/>
        <w:spacing w:before="300" w:after="120" w:line="288" w:lineRule="auto"/>
        <w:ind w:left="0"/>
        <w:jc w:val="left"/>
        <w:outlineLvl w:val="2"/>
      </w:pPr>
      <w:bookmarkStart w:name="heading_12" w:id="12"/>
      <w:r>
        <w:rPr>
          <w:rFonts w:eastAsia="等线" w:ascii="Arial" w:cs="Arial" w:hAnsi="Arial"/>
          <w:b w:val="true"/>
          <w:color w:val="245bdb"/>
          <w:sz w:val="30"/>
        </w:rPr>
        <w:t xml:space="preserve">5.2.2 </w:t>
      </w:r>
      <w:r>
        <w:rPr>
          <w:rFonts w:eastAsia="等线" w:ascii="Arial" w:cs="Arial" w:hAnsi="Arial"/>
          <w:b w:val="true"/>
          <w:sz w:val="30"/>
        </w:rPr>
        <w:t>L2流程示意图</w:t>
      </w:r>
      <w:bookmarkEnd w:id="12"/>
    </w:p>
    <w:p>
      <w:pPr>
        <w:spacing w:before="120" w:after="120" w:line="288" w:lineRule="auto"/>
        <w:ind w:left="0"/>
        <w:jc w:val="center"/>
      </w:pPr>
      <w:r>
        <w:drawing>
          <wp:inline distT="0" distR="0" distB="0" distL="0">
            <wp:extent cx="5257800" cy="20478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2047875"/>
                    </a:xfrm>
                    <a:prstGeom prst="rect">
                      <a:avLst/>
                    </a:prstGeom>
                  </pic:spPr>
                </pic:pic>
              </a:graphicData>
            </a:graphic>
          </wp:inline>
        </w:drawing>
      </w:r>
    </w:p>
    <w:p>
      <w:pPr>
        <w:pStyle w:val="3"/>
        <w:spacing w:before="300" w:after="120" w:line="288" w:lineRule="auto"/>
        <w:ind w:left="0"/>
        <w:jc w:val="left"/>
        <w:outlineLvl w:val="2"/>
      </w:pPr>
      <w:bookmarkStart w:name="heading_13" w:id="13"/>
      <w:r>
        <w:rPr>
          <w:rFonts w:eastAsia="等线" w:ascii="Arial" w:cs="Arial" w:hAnsi="Arial"/>
          <w:b w:val="true"/>
          <w:color w:val="245bdb"/>
          <w:sz w:val="30"/>
        </w:rPr>
        <w:t xml:space="preserve">5.2.3 </w:t>
      </w:r>
      <w:r>
        <w:rPr>
          <w:rFonts w:eastAsia="等线" w:ascii="Arial" w:cs="Arial" w:hAnsi="Arial"/>
          <w:b w:val="true"/>
          <w:sz w:val="30"/>
        </w:rPr>
        <w:t>L3流程示意图</w:t>
      </w:r>
      <w:bookmarkEnd w:id="13"/>
    </w:p>
    <w:p>
      <w:pPr>
        <w:spacing w:before="120" w:after="120" w:line="288" w:lineRule="auto"/>
        <w:ind w:left="0"/>
        <w:jc w:val="center"/>
      </w:pPr>
      <w:r>
        <w:drawing>
          <wp:inline distT="0" distR="0" distB="0" distL="0">
            <wp:extent cx="5257800" cy="23907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2390775"/>
                    </a:xfrm>
                    <a:prstGeom prst="rect">
                      <a:avLst/>
                    </a:prstGeom>
                  </pic:spPr>
                </pic:pic>
              </a:graphicData>
            </a:graphic>
          </wp:inline>
        </w:drawing>
      </w:r>
    </w:p>
    <w:p>
      <w:pPr>
        <w:pStyle w:val="3"/>
        <w:spacing w:before="300" w:after="120" w:line="288" w:lineRule="auto"/>
        <w:ind w:left="0"/>
        <w:jc w:val="left"/>
        <w:outlineLvl w:val="2"/>
      </w:pPr>
      <w:bookmarkStart w:name="heading_14" w:id="14"/>
      <w:r>
        <w:rPr>
          <w:rFonts w:eastAsia="等线" w:ascii="Arial" w:cs="Arial" w:hAnsi="Arial"/>
          <w:b w:val="true"/>
          <w:color w:val="245bdb"/>
          <w:sz w:val="30"/>
        </w:rPr>
        <w:t xml:space="preserve">5.2.4 </w:t>
      </w:r>
      <w:r>
        <w:rPr>
          <w:rFonts w:eastAsia="等线" w:ascii="Arial" w:cs="Arial" w:hAnsi="Arial"/>
          <w:b w:val="true"/>
          <w:sz w:val="30"/>
        </w:rPr>
        <w:t>L3流程图</w:t>
      </w:r>
      <w:bookmarkEnd w:id="14"/>
    </w:p>
    <w:p>
      <w:pPr>
        <w:spacing w:before="120" w:after="120" w:line="288" w:lineRule="auto"/>
        <w:ind w:left="0"/>
        <w:jc w:val="center"/>
      </w:pPr>
      <w:r>
        <w:drawing>
          <wp:inline distT="0" distR="0" distB="0" distL="0">
            <wp:extent cx="5257800" cy="17335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1733550"/>
                    </a:xfrm>
                    <a:prstGeom prst="rect">
                      <a:avLst/>
                    </a:prstGeom>
                  </pic:spPr>
                </pic:pic>
              </a:graphicData>
            </a:graphic>
          </wp:inline>
        </w:drawing>
      </w:r>
    </w:p>
    <w:p>
      <w:pPr>
        <w:pStyle w:val="2"/>
        <w:spacing w:before="320" w:after="120" w:line="288" w:lineRule="auto"/>
        <w:ind w:left="0"/>
        <w:jc w:val="left"/>
        <w:outlineLvl w:val="1"/>
      </w:pPr>
      <w:bookmarkStart w:name="heading_15" w:id="15"/>
      <w:r>
        <w:rPr>
          <w:rFonts w:eastAsia="等线" w:ascii="Arial" w:cs="Arial" w:hAnsi="Arial"/>
          <w:b w:val="true"/>
          <w:color w:val="245bdb"/>
          <w:sz w:val="32"/>
        </w:rPr>
        <w:t xml:space="preserve">5.3 </w:t>
      </w:r>
      <w:r>
        <w:rPr>
          <w:rFonts w:eastAsia="等线" w:ascii="Arial" w:cs="Arial" w:hAnsi="Arial"/>
          <w:b w:val="true"/>
          <w:sz w:val="32"/>
        </w:rPr>
        <w:t>流程活动说明</w:t>
      </w:r>
      <w:bookmarkEnd w:id="15"/>
    </w:p>
    <w:p>
      <w:pPr>
        <w:pStyle w:val="3"/>
        <w:spacing w:before="300" w:after="120" w:line="288" w:lineRule="auto"/>
        <w:ind w:left="0"/>
        <w:jc w:val="left"/>
        <w:outlineLvl w:val="2"/>
      </w:pPr>
      <w:bookmarkStart w:name="heading_16" w:id="16"/>
      <w:r>
        <w:rPr>
          <w:rFonts w:eastAsia="等线" w:ascii="Arial" w:cs="Arial" w:hAnsi="Arial"/>
          <w:b w:val="true"/>
          <w:color w:val="245bdb"/>
          <w:sz w:val="30"/>
        </w:rPr>
        <w:t xml:space="preserve">5.3.1 </w:t>
      </w:r>
      <w:r>
        <w:rPr>
          <w:rFonts w:eastAsia="等线" w:ascii="Arial" w:cs="Arial" w:hAnsi="Arial"/>
          <w:b w:val="true"/>
          <w:sz w:val="30"/>
        </w:rPr>
        <w:t>流程活动说明</w:t>
      </w:r>
      <w:bookmarkEnd w:id="1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55"/>
        <w:gridCol w:w="660"/>
        <w:gridCol w:w="1860"/>
        <w:gridCol w:w="720"/>
        <w:gridCol w:w="585"/>
        <w:gridCol w:w="420"/>
        <w:gridCol w:w="420"/>
        <w:gridCol w:w="465"/>
        <w:gridCol w:w="420"/>
        <w:gridCol w:w="915"/>
        <w:gridCol w:w="525"/>
        <w:gridCol w:w="525"/>
        <w:gridCol w:w="525"/>
      </w:tblGrid>
      <w:tr>
        <w:tc>
          <w:tcPr>
            <w:tcW w:w="2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编号</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活动/子流程</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流程活动说明</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执行角色/岗位</w:t>
            </w:r>
          </w:p>
        </w:tc>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是否有KCP/KDP</w:t>
            </w:r>
          </w:p>
        </w:tc>
        <w:tc>
          <w:tcPr>
            <w:tcW w:w="4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输入</w:t>
            </w:r>
          </w:p>
        </w:tc>
        <w:tc>
          <w:tcPr>
            <w:tcW w:w="4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输入标准</w:t>
            </w:r>
          </w:p>
        </w:tc>
        <w:tc>
          <w:tcPr>
            <w:tcW w:w="4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输出</w:t>
            </w:r>
          </w:p>
        </w:tc>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输出标准</w:t>
            </w:r>
          </w:p>
          <w:p>
            <w:pPr>
              <w:spacing w:before="120" w:after="120" w:line="288" w:lineRule="auto"/>
              <w:ind w:left="0"/>
              <w:jc w:val="left"/>
            </w:pPr>
            <w:r>
              <w:rPr>
                <w:rFonts w:eastAsia="等线" w:ascii="Arial" w:cs="Arial" w:hAnsi="Arial"/>
                <w:sz w:val="22"/>
              </w:rPr>
              <w:t>（良品条件）</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活动难点/关键点说明</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业务变化点说明（与之前的主要变化点）</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指导书</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工作模板</w:t>
            </w:r>
          </w:p>
        </w:tc>
      </w:tr>
      <w:tr>
        <w:tc>
          <w:tcPr>
            <w:tcW w:w="2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洞察方向与假设收敛</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洞察主接题人：</w:t>
            </w:r>
          </w:p>
          <w:p>
            <w:pPr>
              <w:numPr>
                <w:numId w:val="24"/>
              </w:numPr>
              <w:spacing w:before="120" w:after="120" w:line="288" w:lineRule="auto"/>
              <w:ind w:left="0"/>
              <w:jc w:val="left"/>
            </w:pPr>
            <w:r>
              <w:rPr>
                <w:rFonts w:eastAsia="等线" w:ascii="Arial" w:cs="Arial" w:hAnsi="Arial"/>
                <w:sz w:val="22"/>
              </w:rPr>
              <w:t>组织团队，确认洞察方向</w:t>
            </w:r>
          </w:p>
          <w:p>
            <w:pPr>
              <w:numPr>
                <w:numId w:val="25"/>
              </w:numPr>
              <w:spacing w:before="120" w:after="120" w:line="288" w:lineRule="auto"/>
              <w:ind w:left="0"/>
              <w:jc w:val="left"/>
            </w:pPr>
            <w:r>
              <w:rPr>
                <w:rFonts w:eastAsia="等线" w:ascii="Arial" w:cs="Arial" w:hAnsi="Arial"/>
                <w:sz w:val="22"/>
              </w:rPr>
              <w:t>收敛证实、证伪的洞察假设，洞察方向</w:t>
            </w:r>
          </w:p>
          <w:p>
            <w:pPr>
              <w:spacing w:before="120" w:after="120" w:line="288" w:lineRule="auto"/>
              <w:ind w:left="0"/>
              <w:jc w:val="left"/>
            </w:pPr>
            <w:r>
              <w:rPr>
                <w:rFonts w:eastAsia="等线" w:ascii="Arial" w:cs="Arial" w:hAnsi="Arial"/>
                <w:sz w:val="22"/>
              </w:rPr>
              <w:t>联合接题人：</w:t>
            </w:r>
          </w:p>
          <w:p>
            <w:pPr>
              <w:numPr>
                <w:numId w:val="26"/>
              </w:numPr>
              <w:spacing w:before="120" w:after="120" w:line="288" w:lineRule="auto"/>
              <w:ind w:left="0"/>
              <w:jc w:val="left"/>
            </w:pPr>
            <w:r>
              <w:rPr>
                <w:rFonts w:eastAsia="等线" w:ascii="Arial" w:cs="Arial" w:hAnsi="Arial"/>
                <w:sz w:val="22"/>
              </w:rPr>
              <w:t>收敛证实、证伪的洞察假设，洞察方向</w:t>
            </w:r>
          </w:p>
          <w:p>
            <w:pPr>
              <w:numPr>
                <w:numId w:val="27"/>
              </w:numPr>
              <w:spacing w:before="120" w:after="120" w:line="288" w:lineRule="auto"/>
              <w:ind w:left="0"/>
              <w:jc w:val="left"/>
            </w:pPr>
            <w:r>
              <w:rPr>
                <w:rFonts w:eastAsia="等线" w:ascii="Arial" w:cs="Arial" w:hAnsi="Arial"/>
                <w:sz w:val="22"/>
              </w:rPr>
              <w:t>确定后续洞察所需数据、信息和关键洞察要素</w:t>
            </w:r>
          </w:p>
          <w:p>
            <w:pPr>
              <w:numPr>
                <w:numId w:val="28"/>
              </w:numPr>
              <w:spacing w:before="120" w:after="120" w:line="288" w:lineRule="auto"/>
              <w:ind w:left="0"/>
              <w:jc w:val="left"/>
            </w:pPr>
            <w:r>
              <w:rPr>
                <w:rFonts w:eastAsia="等线" w:ascii="Arial" w:cs="Arial" w:hAnsi="Arial"/>
                <w:sz w:val="22"/>
              </w:rPr>
              <w:t>与开题人沟通洞察假设、洞察方向，明确洞察范围</w:t>
            </w:r>
          </w:p>
          <w:p>
            <w:pPr>
              <w:numPr>
                <w:numId w:val="29"/>
              </w:numPr>
              <w:spacing w:before="120" w:after="120" w:line="288" w:lineRule="auto"/>
              <w:ind w:left="0"/>
              <w:jc w:val="left"/>
            </w:pPr>
            <w:r>
              <w:rPr>
                <w:rFonts w:eastAsia="等线" w:ascii="Arial" w:cs="Arial" w:hAnsi="Arial"/>
                <w:sz w:val="22"/>
              </w:rPr>
              <w:t>形成洞察清单</w:t>
            </w:r>
          </w:p>
          <w:p>
            <w:pPr>
              <w:spacing w:before="120" w:after="120" w:line="288" w:lineRule="auto"/>
              <w:ind w:left="0"/>
              <w:jc w:val="left"/>
            </w:pPr>
            <w:r>
              <w:rPr>
                <w:rFonts w:eastAsia="等线" w:ascii="Arial" w:cs="Arial" w:hAnsi="Arial"/>
                <w:color w:val="d83931"/>
                <w:sz w:val="22"/>
              </w:rPr>
              <w:t>（注：区域机会洞察无需执行该环节）</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洞察主接题人</w:t>
            </w:r>
          </w:p>
          <w:p>
            <w:pPr>
              <w:spacing w:before="120" w:after="120" w:line="288" w:lineRule="auto"/>
              <w:ind w:left="0"/>
              <w:jc w:val="center"/>
            </w:pPr>
            <w:r>
              <w:rPr>
                <w:rFonts w:eastAsia="等线" w:ascii="Arial" w:cs="Arial" w:hAnsi="Arial"/>
                <w:sz w:val="22"/>
              </w:rPr>
              <w:t>联合接题人</w:t>
            </w:r>
          </w:p>
          <w:p>
            <w:pPr>
              <w:spacing w:before="120" w:after="120" w:line="288" w:lineRule="auto"/>
              <w:ind w:left="0"/>
              <w:jc w:val="center"/>
            </w:pPr>
            <w:r>
              <w:rPr>
                <w:rFonts w:eastAsia="等线" w:ascii="Arial" w:cs="Arial" w:hAnsi="Arial"/>
                <w:sz w:val="22"/>
              </w:rPr>
              <w:t>组外资深专家（可选）</w:t>
            </w:r>
          </w:p>
          <w:p>
            <w:pPr>
              <w:spacing w:before="120" w:after="120" w:line="288" w:lineRule="auto"/>
              <w:ind w:left="0"/>
              <w:jc w:val="center"/>
            </w:pPr>
            <w:r>
              <w:rPr>
                <w:rFonts w:eastAsia="等线" w:ascii="Arial" w:cs="Arial" w:hAnsi="Arial"/>
                <w:sz w:val="22"/>
              </w:rPr>
              <w:t>企业外部专家（可选）</w:t>
            </w:r>
          </w:p>
          <w:p>
            <w:pPr>
              <w:spacing w:before="120" w:after="120" w:line="288" w:lineRule="auto"/>
              <w:ind w:left="0"/>
              <w:jc w:val="center"/>
            </w:pPr>
            <w:r>
              <w:rPr>
                <w:rFonts w:eastAsia="等线" w:ascii="Arial" w:cs="Arial" w:hAnsi="Arial"/>
                <w:sz w:val="22"/>
              </w:rPr>
              <w:t>客户（可选）</w:t>
            </w:r>
          </w:p>
        </w:tc>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4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证实证伪假设与方向</w:t>
            </w:r>
          </w:p>
        </w:tc>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要素支撑的假设与方向</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洞察清单，包含证实方向、证伪方向和洞察假设</w:t>
            </w:r>
          </w:p>
        </w:tc>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收敛并达成一致的洞察假设与方向</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收敛洞察假设需要专业素养和经验</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r>
      <w:tr>
        <w:tc>
          <w:tcPr>
            <w:tcW w:w="2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开展专项洞察</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洞察主接题人：</w:t>
            </w:r>
          </w:p>
          <w:p>
            <w:pPr>
              <w:numPr>
                <w:numId w:val="30"/>
              </w:numPr>
              <w:spacing w:before="120" w:after="120" w:line="288" w:lineRule="auto"/>
              <w:ind w:left="0"/>
              <w:jc w:val="left"/>
            </w:pPr>
            <w:r>
              <w:rPr>
                <w:rFonts w:eastAsia="等线" w:ascii="Arial" w:cs="Arial" w:hAnsi="Arial"/>
                <w:sz w:val="22"/>
              </w:rPr>
              <w:t>组织团队开展专项洞察并进行进度管理</w:t>
            </w:r>
          </w:p>
          <w:p>
            <w:pPr>
              <w:numPr>
                <w:numId w:val="31"/>
              </w:numPr>
              <w:spacing w:before="120" w:after="120" w:line="288" w:lineRule="auto"/>
              <w:ind w:left="0"/>
              <w:jc w:val="left"/>
            </w:pPr>
            <w:r>
              <w:rPr>
                <w:rFonts w:eastAsia="等线" w:ascii="Arial" w:cs="Arial" w:hAnsi="Arial"/>
                <w:sz w:val="22"/>
              </w:rPr>
              <w:t>按照洞察分工和计划，收集靶向信息和数据</w:t>
            </w:r>
          </w:p>
          <w:p>
            <w:pPr>
              <w:spacing w:before="120" w:after="120" w:line="288" w:lineRule="auto"/>
              <w:ind w:left="0"/>
              <w:jc w:val="left"/>
            </w:pPr>
            <w:r>
              <w:rPr>
                <w:rFonts w:eastAsia="等线" w:ascii="Arial" w:cs="Arial" w:hAnsi="Arial"/>
                <w:sz w:val="22"/>
              </w:rPr>
              <w:t>联合接题人：</w:t>
            </w:r>
          </w:p>
          <w:p>
            <w:pPr>
              <w:numPr>
                <w:numId w:val="32"/>
              </w:numPr>
              <w:spacing w:before="120" w:after="120" w:line="288" w:lineRule="auto"/>
              <w:ind w:left="0"/>
              <w:jc w:val="left"/>
            </w:pPr>
            <w:r>
              <w:rPr>
                <w:rFonts w:eastAsia="等线" w:ascii="Arial" w:cs="Arial" w:hAnsi="Arial"/>
                <w:sz w:val="22"/>
              </w:rPr>
              <w:t>筛选信息和数据，保证数据的权威性和可信度，提升信息质量</w:t>
            </w:r>
          </w:p>
          <w:p>
            <w:pPr>
              <w:numPr>
                <w:numId w:val="33"/>
              </w:numPr>
              <w:spacing w:before="120" w:after="120" w:line="288" w:lineRule="auto"/>
              <w:ind w:left="0"/>
              <w:jc w:val="left"/>
            </w:pPr>
            <w:r>
              <w:rPr>
                <w:rFonts w:eastAsia="等线" w:ascii="Arial" w:cs="Arial" w:hAnsi="Arial"/>
                <w:sz w:val="22"/>
              </w:rPr>
              <w:t>基于洞察假设，使用专业的洞察方法，展开专项洞察分析</w:t>
            </w:r>
          </w:p>
          <w:p>
            <w:pPr>
              <w:numPr>
                <w:numId w:val="34"/>
              </w:numPr>
              <w:spacing w:before="120" w:after="120" w:line="288" w:lineRule="auto"/>
              <w:ind w:left="0"/>
              <w:jc w:val="left"/>
            </w:pPr>
            <w:r>
              <w:rPr>
                <w:rFonts w:eastAsia="等线" w:ascii="Arial" w:cs="Arial" w:hAnsi="Arial"/>
                <w:sz w:val="22"/>
              </w:rPr>
              <w:t>形成专项洞察观点和建议。</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洞察主接题人</w:t>
            </w:r>
          </w:p>
          <w:p>
            <w:pPr>
              <w:spacing w:before="120" w:after="120" w:line="288" w:lineRule="auto"/>
              <w:ind w:left="0"/>
              <w:jc w:val="center"/>
            </w:pPr>
            <w:r>
              <w:rPr>
                <w:rFonts w:eastAsia="等线" w:ascii="Arial" w:cs="Arial" w:hAnsi="Arial"/>
                <w:sz w:val="22"/>
              </w:rPr>
              <w:t>联合接题人</w:t>
            </w:r>
          </w:p>
        </w:tc>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42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洞察计划 </w:t>
            </w:r>
          </w:p>
        </w:tc>
        <w:tc>
          <w:tcPr>
            <w:tcW w:w="42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讨论通过、资源到位，可执行</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各洞察方向的观点和建议</w:t>
            </w:r>
          </w:p>
        </w:tc>
        <w:tc>
          <w:tcPr>
            <w:tcW w:w="42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《市场洞察评审自检表V0.9》</w:t>
            </w:r>
          </w:p>
          <w:p>
            <w:pPr>
              <w:spacing w:before="120" w:after="120" w:line="288" w:lineRule="auto"/>
              <w:ind w:left="0"/>
              <w:jc w:val="left"/>
            </w:pPr>
            <w:hyperlink r:id="rId9">
              <w:r>
                <w:rPr>
                  <w:rFonts w:eastAsia="等线" w:ascii="Arial" w:cs="Arial" w:hAnsi="Arial"/>
                  <w:color w:val="3370ff"/>
                  <w:sz w:val="22"/>
                </w:rPr>
                <w:t>市场洞察评审自检表V0.9</w:t>
              </w:r>
            </w:hyperlink>
          </w:p>
          <w:p>
            <w:pPr>
              <w:spacing w:before="120" w:after="120" w:line="288" w:lineRule="auto"/>
              <w:ind w:left="0"/>
              <w:jc w:val="left"/>
            </w:pPr>
          </w:p>
        </w:tc>
        <w:tc>
          <w:tcPr>
            <w:tcW w:w="915" w:type="dxa"/>
            <w:tcMar>
              <w:top w:type="dxa" w:w="60"/>
              <w:left w:type="dxa" w:w="120"/>
              <w:bottom w:type="dxa" w:w="30"/>
              <w:right w:type="dxa" w:w="120"/>
            </w:tcMar>
          </w:tcPr>
          <w:p>
            <w:pPr>
              <w:numPr>
                <w:numId w:val="35"/>
              </w:numPr>
              <w:spacing w:before="120" w:after="120" w:line="288" w:lineRule="auto"/>
              <w:ind w:left="0"/>
              <w:jc w:val="left"/>
            </w:pPr>
            <w:r>
              <w:rPr>
                <w:rFonts w:eastAsia="等线" w:ascii="Arial" w:cs="Arial" w:hAnsi="Arial"/>
                <w:sz w:val="22"/>
              </w:rPr>
              <w:t>收集洞察议题相关的数据</w:t>
            </w:r>
          </w:p>
          <w:p>
            <w:pPr>
              <w:numPr>
                <w:numId w:val="36"/>
              </w:numPr>
              <w:spacing w:before="120" w:after="120" w:line="288" w:lineRule="auto"/>
              <w:ind w:left="0"/>
              <w:jc w:val="left"/>
            </w:pPr>
            <w:r>
              <w:rPr>
                <w:rFonts w:eastAsia="等线" w:ascii="Arial" w:cs="Arial" w:hAnsi="Arial"/>
                <w:sz w:val="22"/>
              </w:rPr>
              <w:t>积累长周期的数据与信息</w:t>
            </w:r>
          </w:p>
          <w:p>
            <w:pPr>
              <w:numPr>
                <w:numId w:val="37"/>
              </w:numPr>
              <w:spacing w:before="120" w:after="120" w:line="288" w:lineRule="auto"/>
              <w:ind w:left="0"/>
              <w:jc w:val="left"/>
            </w:pPr>
            <w:r>
              <w:rPr>
                <w:rFonts w:eastAsia="等线" w:ascii="Arial" w:cs="Arial" w:hAnsi="Arial"/>
                <w:sz w:val="22"/>
              </w:rPr>
              <w:t>数据交叉验证</w:t>
            </w:r>
          </w:p>
          <w:p>
            <w:pPr>
              <w:numPr>
                <w:numId w:val="38"/>
              </w:numPr>
              <w:spacing w:before="120" w:after="120" w:line="288" w:lineRule="auto"/>
              <w:ind w:left="0"/>
              <w:jc w:val="left"/>
            </w:pPr>
            <w:r>
              <w:rPr>
                <w:rFonts w:eastAsia="等线" w:ascii="Arial" w:cs="Arial" w:hAnsi="Arial"/>
                <w:sz w:val="22"/>
              </w:rPr>
              <w:t>完成各专项分析</w:t>
            </w:r>
          </w:p>
        </w:tc>
        <w:tc>
          <w:tcPr>
            <w:tcW w:w="525" w:type="dxa"/>
            <w:vMerge w:val="restart"/>
            <w:tcMar>
              <w:top w:type="dxa" w:w="60"/>
              <w:left w:type="dxa" w:w="120"/>
              <w:bottom w:type="dxa" w:w="30"/>
              <w:right w:type="dxa" w:w="120"/>
            </w:tcMar>
          </w:tcPr>
          <w:p>
            <w:pPr>
              <w:numPr>
                <w:numId w:val="39"/>
              </w:numPr>
              <w:spacing w:before="120" w:after="120" w:line="288" w:lineRule="auto"/>
              <w:ind w:left="0"/>
              <w:jc w:val="left"/>
            </w:pPr>
            <w:r>
              <w:rPr>
                <w:rFonts w:eastAsia="等线" w:ascii="Arial" w:cs="Arial" w:hAnsi="Arial"/>
                <w:sz w:val="22"/>
              </w:rPr>
              <w:t>迭代了六看指导书为</w:t>
            </w:r>
            <w:hyperlink r:id="rId10">
              <w:r>
                <w:rPr>
                  <w:rFonts w:eastAsia="等线" w:ascii="Arial" w:cs="Arial" w:hAnsi="Arial"/>
                  <w:color w:val="3370ff"/>
                  <w:sz w:val="22"/>
                </w:rPr>
                <w:t>市场洞察6看指导书</w:t>
              </w:r>
            </w:hyperlink>
            <w:r>
              <w:rPr>
                <w:rFonts w:eastAsia="等线" w:ascii="Arial" w:cs="Arial" w:hAnsi="Arial"/>
                <w:sz w:val="22"/>
              </w:rPr>
              <w:t xml:space="preserve"> </w:t>
            </w:r>
          </w:p>
          <w:p>
            <w:pPr>
              <w:numPr>
                <w:numId w:val="40"/>
              </w:numPr>
              <w:spacing w:before="120" w:after="120" w:line="288" w:lineRule="auto"/>
              <w:ind w:left="0"/>
              <w:jc w:val="left"/>
            </w:pPr>
            <w:r>
              <w:rPr>
                <w:rFonts w:eastAsia="等线" w:ascii="Arial" w:cs="Arial" w:hAnsi="Arial"/>
                <w:sz w:val="22"/>
              </w:rPr>
              <w:t>新增区域/国家机会洞察一页纸模板及指导书用于区域洞察使用</w:t>
            </w:r>
          </w:p>
        </w:tc>
        <w:tc>
          <w:tcPr>
            <w:tcW w:w="52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《市场洞察6看指导书》：</w:t>
            </w:r>
          </w:p>
          <w:p>
            <w:pPr>
              <w:spacing w:before="120" w:after="120" w:line="288" w:lineRule="auto"/>
              <w:ind w:left="0"/>
              <w:jc w:val="left"/>
            </w:pPr>
            <w:hyperlink r:id="rId11">
              <w:r>
                <w:rPr>
                  <w:rFonts w:eastAsia="等线" w:ascii="Arial" w:cs="Arial" w:hAnsi="Arial"/>
                  <w:color w:val="3370ff"/>
                  <w:sz w:val="22"/>
                </w:rPr>
                <w:t>市场洞察6看指导书</w:t>
              </w:r>
            </w:hyperlink>
          </w:p>
          <w:p>
            <w:pPr>
              <w:spacing w:before="120" w:after="120" w:line="288" w:lineRule="auto"/>
              <w:ind w:left="0"/>
              <w:jc w:val="left"/>
            </w:pPr>
            <w:r>
              <w:rPr>
                <w:rFonts w:eastAsia="等线" w:ascii="Arial" w:cs="Arial" w:hAnsi="Arial"/>
                <w:sz w:val="22"/>
              </w:rPr>
              <w:t>《区域/国家机会洞察指导书V0.9》</w:t>
            </w:r>
          </w:p>
          <w:p>
            <w:pPr>
              <w:spacing w:before="120" w:after="120" w:line="288" w:lineRule="auto"/>
              <w:ind w:left="0"/>
              <w:jc w:val="left"/>
            </w:pPr>
            <w:hyperlink r:id="rId12">
              <w:r>
                <w:rPr>
                  <w:rFonts w:eastAsia="等线" w:ascii="Arial" w:cs="Arial" w:hAnsi="Arial"/>
                  <w:color w:val="3370ff"/>
                  <w:sz w:val="22"/>
                </w:rPr>
                <w:t>区域/国家机会洞察指导书（V0.9）</w:t>
              </w:r>
            </w:hyperlink>
          </w:p>
        </w:tc>
        <w:tc>
          <w:tcPr>
            <w:tcW w:w="525" w:type="dxa"/>
            <w:vMerge w:val="restart"/>
            <w:tcMar>
              <w:top w:type="dxa" w:w="60"/>
              <w:left w:type="dxa" w:w="120"/>
              <w:bottom w:type="dxa" w:w="30"/>
              <w:right w:type="dxa" w:w="120"/>
            </w:tcMar>
          </w:tcPr>
          <w:p>
            <w:pPr>
              <w:spacing w:before="120" w:after="120" w:line="288" w:lineRule="auto"/>
              <w:ind w:left="0"/>
              <w:jc w:val="left"/>
            </w:pPr>
            <w:hyperlink r:id="rId13">
              <w:r>
                <w:rPr>
                  <w:rFonts w:eastAsia="等线" w:ascii="Arial" w:cs="Arial" w:hAnsi="Arial"/>
                  <w:color w:val="3370ff"/>
                  <w:sz w:val="22"/>
                </w:rPr>
                <w:t>看市场模版</w:t>
              </w:r>
            </w:hyperlink>
            <w:r>
              <w:rPr>
                <w:rFonts w:eastAsia="等线" w:ascii="Arial" w:cs="Arial" w:hAnsi="Arial"/>
                <w:sz w:val="22"/>
              </w:rPr>
              <w:br/>
            </w:r>
            <w:hyperlink r:id="rId14">
              <w:r>
                <w:rPr>
                  <w:rFonts w:eastAsia="等线" w:ascii="Arial" w:cs="Arial" w:hAnsi="Arial"/>
                  <w:color w:val="3370ff"/>
                  <w:sz w:val="22"/>
                </w:rPr>
                <w:t>看客户模版</w:t>
              </w:r>
            </w:hyperlink>
            <w:r>
              <w:rPr>
                <w:rFonts w:eastAsia="等线" w:ascii="Arial" w:cs="Arial" w:hAnsi="Arial"/>
                <w:sz w:val="22"/>
              </w:rPr>
              <w:br/>
            </w:r>
            <w:hyperlink r:id="rId15">
              <w:r>
                <w:rPr>
                  <w:rFonts w:eastAsia="等线" w:ascii="Arial" w:cs="Arial" w:hAnsi="Arial"/>
                  <w:color w:val="3370ff"/>
                  <w:sz w:val="22"/>
                </w:rPr>
                <w:t>看竞争模版</w:t>
              </w:r>
            </w:hyperlink>
            <w:r>
              <w:rPr>
                <w:rFonts w:eastAsia="等线" w:ascii="Arial" w:cs="Arial" w:hAnsi="Arial"/>
                <w:sz w:val="22"/>
              </w:rPr>
              <w:br/>
            </w:r>
            <w:hyperlink r:id="rId16">
              <w:r>
                <w:rPr>
                  <w:rFonts w:eastAsia="等线" w:ascii="Arial" w:cs="Arial" w:hAnsi="Arial"/>
                  <w:color w:val="3370ff"/>
                  <w:sz w:val="22"/>
                </w:rPr>
                <w:t>看产业模版</w:t>
              </w:r>
            </w:hyperlink>
            <w:r>
              <w:rPr>
                <w:rFonts w:eastAsia="等线" w:ascii="Arial" w:cs="Arial" w:hAnsi="Arial"/>
                <w:sz w:val="22"/>
              </w:rPr>
              <w:br/>
            </w:r>
            <w:hyperlink r:id="rId17">
              <w:r>
                <w:rPr>
                  <w:rFonts w:eastAsia="等线" w:ascii="Arial" w:cs="Arial" w:hAnsi="Arial"/>
                  <w:color w:val="3370ff"/>
                  <w:sz w:val="22"/>
                </w:rPr>
                <w:t>看技术模版</w:t>
              </w:r>
            </w:hyperlink>
            <w:r>
              <w:rPr>
                <w:rFonts w:eastAsia="等线" w:ascii="Arial" w:cs="Arial" w:hAnsi="Arial"/>
                <w:sz w:val="22"/>
              </w:rPr>
              <w:br/>
            </w:r>
            <w:hyperlink r:id="rId18">
              <w:r>
                <w:rPr>
                  <w:rFonts w:eastAsia="等线" w:ascii="Arial" w:cs="Arial" w:hAnsi="Arial"/>
                  <w:color w:val="3370ff"/>
                  <w:sz w:val="22"/>
                </w:rPr>
                <w:t>看资金模版</w:t>
              </w:r>
            </w:hyperlink>
            <w:r>
              <w:rPr>
                <w:rFonts w:eastAsia="等线" w:ascii="Arial" w:cs="Arial" w:hAnsi="Arial"/>
                <w:sz w:val="22"/>
              </w:rPr>
              <w:br/>
            </w:r>
            <w:r>
              <w:rPr>
                <w:rFonts w:eastAsia="等线" w:ascii="Arial" w:cs="Arial" w:hAnsi="Arial"/>
                <w:sz w:val="22"/>
              </w:rPr>
              <w:t>《区域/国家机会洞察一页纸V0.9》</w:t>
            </w:r>
          </w:p>
          <w:p>
            <w:pPr>
              <w:spacing w:before="120" w:after="120" w:line="288" w:lineRule="auto"/>
              <w:ind w:left="0"/>
              <w:jc w:val="left"/>
            </w:pPr>
            <w:hyperlink r:id="rId19">
              <w:r>
                <w:rPr>
                  <w:rFonts w:eastAsia="等线" w:ascii="Arial" w:cs="Arial" w:hAnsi="Arial"/>
                  <w:color w:val="3370ff"/>
                  <w:sz w:val="22"/>
                </w:rPr>
                <w:t>区域/国家机会洞察一页纸（V0.9）</w:t>
              </w:r>
            </w:hyperlink>
          </w:p>
        </w:tc>
      </w:tr>
      <w:tr>
        <w:tc>
          <w:tcPr>
            <w:tcW w:w="2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撰写洞察报告</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洞察主接题人：</w:t>
            </w:r>
          </w:p>
          <w:p>
            <w:pPr>
              <w:numPr>
                <w:numId w:val="41"/>
              </w:numPr>
              <w:spacing w:before="120" w:after="120" w:line="288" w:lineRule="auto"/>
              <w:ind w:left="0"/>
              <w:jc w:val="left"/>
            </w:pPr>
            <w:r>
              <w:rPr>
                <w:rFonts w:eastAsia="等线" w:ascii="Arial" w:cs="Arial" w:hAnsi="Arial"/>
                <w:sz w:val="22"/>
              </w:rPr>
              <w:t>组织整合专项洞察并输出洞察报告</w:t>
            </w:r>
          </w:p>
          <w:p>
            <w:pPr>
              <w:numPr>
                <w:numId w:val="42"/>
              </w:numPr>
              <w:spacing w:before="120" w:after="120" w:line="288" w:lineRule="auto"/>
              <w:ind w:left="0"/>
              <w:jc w:val="left"/>
            </w:pPr>
            <w:r>
              <w:rPr>
                <w:rFonts w:eastAsia="等线" w:ascii="Arial" w:cs="Arial" w:hAnsi="Arial"/>
                <w:sz w:val="22"/>
              </w:rPr>
              <w:t>构建“现象—原因—结果”逻辑链，形成条理清晰的市场洞察报告</w:t>
            </w:r>
          </w:p>
          <w:p>
            <w:pPr>
              <w:numPr>
                <w:numId w:val="43"/>
              </w:numPr>
              <w:spacing w:before="120" w:after="120" w:line="288" w:lineRule="auto"/>
              <w:ind w:left="0"/>
              <w:jc w:val="left"/>
            </w:pPr>
            <w:r>
              <w:rPr>
                <w:rFonts w:eastAsia="等线" w:ascii="Arial" w:cs="Arial" w:hAnsi="Arial"/>
                <w:sz w:val="22"/>
              </w:rPr>
              <w:t>参考洞察报告模版，融合各专项洞察输出（观点+建议）</w:t>
            </w:r>
          </w:p>
          <w:p>
            <w:pPr>
              <w:spacing w:before="120" w:after="120" w:line="288" w:lineRule="auto"/>
              <w:ind w:left="0"/>
              <w:jc w:val="left"/>
            </w:pPr>
            <w:r>
              <w:rPr>
                <w:rFonts w:eastAsia="等线" w:ascii="Arial" w:cs="Arial" w:hAnsi="Arial"/>
                <w:sz w:val="22"/>
              </w:rPr>
              <w:t>联合接题人：</w:t>
            </w:r>
          </w:p>
          <w:p>
            <w:pPr>
              <w:numPr>
                <w:numId w:val="44"/>
              </w:numPr>
              <w:spacing w:before="120" w:after="120" w:line="288" w:lineRule="auto"/>
              <w:ind w:left="0"/>
              <w:jc w:val="left"/>
            </w:pPr>
            <w:r>
              <w:rPr>
                <w:rFonts w:eastAsia="等线" w:ascii="Arial" w:cs="Arial" w:hAnsi="Arial"/>
                <w:sz w:val="22"/>
              </w:rPr>
              <w:t>根据主接题人安排，补遗专项洞察内容</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洞察主接题人</w:t>
            </w:r>
          </w:p>
          <w:p>
            <w:pPr>
              <w:spacing w:before="120" w:after="120" w:line="288" w:lineRule="auto"/>
              <w:ind w:left="0"/>
              <w:jc w:val="center"/>
            </w:pPr>
            <w:r>
              <w:rPr>
                <w:rFonts w:eastAsia="等线" w:ascii="Arial" w:cs="Arial" w:hAnsi="Arial"/>
                <w:sz w:val="22"/>
              </w:rPr>
              <w:t>联合接题人</w:t>
            </w:r>
          </w:p>
        </w:tc>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420" w:type="dxa"/>
            <w:vMerge w:val="continue"/>
            <w:tcMar>
              <w:top w:type="dxa" w:w="60"/>
              <w:left w:type="dxa" w:w="120"/>
              <w:bottom w:type="dxa" w:w="30"/>
              <w:right w:type="dxa" w:w="120"/>
            </w:tcMar>
          </w:tcPr>
          <w:p>
            <w:pPr>
              <w:spacing w:before="120" w:after="120" w:line="288" w:lineRule="auto"/>
              <w:ind w:left="0"/>
              <w:jc w:val="left"/>
            </w:pPr>
          </w:p>
        </w:tc>
        <w:tc>
          <w:tcPr>
            <w:tcW w:w="420" w:type="dxa"/>
            <w:vMerge w:val="continue"/>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待自检的洞察报告</w:t>
            </w:r>
          </w:p>
        </w:tc>
        <w:tc>
          <w:tcPr>
            <w:tcW w:w="420" w:type="dxa"/>
            <w:vMerge w:val="continue"/>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numPr>
                <w:numId w:val="45"/>
              </w:numPr>
              <w:spacing w:before="120" w:after="120" w:line="288" w:lineRule="auto"/>
              <w:ind w:left="0"/>
              <w:jc w:val="left"/>
            </w:pPr>
            <w:r>
              <w:rPr>
                <w:rFonts w:eastAsia="等线" w:ascii="Arial" w:cs="Arial" w:hAnsi="Arial"/>
                <w:sz w:val="22"/>
              </w:rPr>
              <w:t>整合完整洞察报告</w:t>
            </w:r>
          </w:p>
        </w:tc>
        <w:tc>
          <w:tcPr>
            <w:tcW w:w="525" w:type="dxa"/>
            <w:vMerge w:val="continue"/>
            <w:tcMar>
              <w:top w:type="dxa" w:w="60"/>
              <w:left w:type="dxa" w:w="120"/>
              <w:bottom w:type="dxa" w:w="30"/>
              <w:right w:type="dxa" w:w="120"/>
            </w:tcMar>
          </w:tcPr>
          <w:p>
            <w:pPr>
              <w:spacing w:before="120" w:after="120" w:line="288" w:lineRule="auto"/>
              <w:ind w:left="0"/>
              <w:jc w:val="left"/>
            </w:pPr>
          </w:p>
        </w:tc>
        <w:tc>
          <w:tcPr>
            <w:tcW w:w="525" w:type="dxa"/>
            <w:vMerge w:val="continue"/>
            <w:tcMar>
              <w:top w:type="dxa" w:w="60"/>
              <w:left w:type="dxa" w:w="120"/>
              <w:bottom w:type="dxa" w:w="30"/>
              <w:right w:type="dxa" w:w="120"/>
            </w:tcMar>
          </w:tcPr>
          <w:p>
            <w:pPr>
              <w:spacing w:before="120" w:after="120" w:line="288" w:lineRule="auto"/>
              <w:ind w:left="0"/>
              <w:jc w:val="left"/>
            </w:pPr>
          </w:p>
        </w:tc>
        <w:tc>
          <w:tcPr>
            <w:tcW w:w="525" w:type="dxa"/>
            <w:vMerge w:val="continue"/>
            <w:tcMar>
              <w:top w:type="dxa" w:w="60"/>
              <w:left w:type="dxa" w:w="120"/>
              <w:bottom w:type="dxa" w:w="30"/>
              <w:right w:type="dxa" w:w="120"/>
            </w:tcMar>
          </w:tcPr>
          <w:p>
            <w:pPr>
              <w:spacing w:before="120" w:after="120" w:line="288" w:lineRule="auto"/>
              <w:ind w:left="0"/>
              <w:jc w:val="left"/>
            </w:pPr>
          </w:p>
        </w:tc>
      </w:tr>
      <w:tr>
        <w:tc>
          <w:tcPr>
            <w:tcW w:w="2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自检洞察报告</w:t>
            </w:r>
          </w:p>
        </w:tc>
        <w:tc>
          <w:tcPr>
            <w:tcW w:w="1860" w:type="dxa"/>
            <w:tcMar>
              <w:top w:type="dxa" w:w="60"/>
              <w:left w:type="dxa" w:w="120"/>
              <w:bottom w:type="dxa" w:w="30"/>
              <w:right w:type="dxa" w:w="120"/>
            </w:tcMar>
          </w:tcPr>
          <w:p>
            <w:pPr>
              <w:numPr>
                <w:numId w:val="46"/>
              </w:numPr>
              <w:spacing w:before="120" w:after="120" w:line="288" w:lineRule="auto"/>
              <w:ind w:left="0"/>
              <w:jc w:val="left"/>
            </w:pPr>
            <w:r>
              <w:rPr>
                <w:rFonts w:eastAsia="等线" w:ascii="Arial" w:cs="Arial" w:hAnsi="Arial"/>
                <w:sz w:val="22"/>
              </w:rPr>
              <w:t>依照洞察报告初审标准，洞察主解题人自检洞察报告初稿，</w:t>
            </w:r>
          </w:p>
          <w:p>
            <w:pPr>
              <w:numPr>
                <w:numId w:val="47"/>
              </w:numPr>
              <w:spacing w:before="120" w:after="120" w:line="288" w:lineRule="auto"/>
              <w:ind w:left="0"/>
              <w:jc w:val="left"/>
            </w:pPr>
            <w:r>
              <w:rPr>
                <w:rFonts w:eastAsia="等线" w:ascii="Arial" w:cs="Arial" w:hAnsi="Arial"/>
                <w:sz w:val="22"/>
              </w:rPr>
              <w:t>联合洞察需要组织会议，审核报告的内容，确保洞察报告输出质量</w:t>
            </w:r>
          </w:p>
          <w:p>
            <w:pPr>
              <w:numPr>
                <w:numId w:val="48"/>
              </w:numPr>
              <w:spacing w:before="120" w:after="120" w:line="288" w:lineRule="auto"/>
              <w:ind w:left="0"/>
              <w:jc w:val="left"/>
            </w:pPr>
            <w:r>
              <w:rPr>
                <w:rFonts w:eastAsia="等线" w:ascii="Arial" w:cs="Arial" w:hAnsi="Arial"/>
                <w:sz w:val="22"/>
              </w:rPr>
              <w:t>自检提出整改点，给出自检质量评价，包含通过和不通过两种</w:t>
            </w:r>
          </w:p>
          <w:p>
            <w:pPr>
              <w:numPr>
                <w:numId w:val="49"/>
              </w:numPr>
              <w:spacing w:before="120" w:after="120" w:line="288" w:lineRule="auto"/>
              <w:ind w:left="0"/>
              <w:jc w:val="left"/>
            </w:pPr>
            <w:r>
              <w:rPr>
                <w:rFonts w:eastAsia="等线" w:ascii="Arial" w:cs="Arial" w:hAnsi="Arial"/>
                <w:sz w:val="22"/>
              </w:rPr>
              <w:t>洞察报告自检不通过，洞察主接题人领导团队，从新开展进一步洞察、修订洞察报告，开展下一轮自评。</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洞察主接题人</w:t>
            </w:r>
          </w:p>
          <w:p>
            <w:pPr>
              <w:spacing w:before="120" w:after="120" w:line="288" w:lineRule="auto"/>
              <w:ind w:left="0"/>
              <w:jc w:val="center"/>
            </w:pPr>
            <w:r>
              <w:rPr>
                <w:rFonts w:eastAsia="等线" w:ascii="Arial" w:cs="Arial" w:hAnsi="Arial"/>
                <w:sz w:val="22"/>
              </w:rPr>
              <w:t>联合接题人（可选）</w:t>
            </w:r>
          </w:p>
        </w:tc>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待自检的洞察报告</w:t>
            </w:r>
          </w:p>
        </w:tc>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《市场洞察评审自检表V0.9》</w:t>
            </w:r>
          </w:p>
          <w:p>
            <w:pPr>
              <w:spacing w:before="120" w:after="120" w:line="288" w:lineRule="auto"/>
              <w:ind w:left="0"/>
              <w:jc w:val="left"/>
            </w:pPr>
            <w:hyperlink r:id="rId20">
              <w:r>
                <w:rPr>
                  <w:rFonts w:eastAsia="等线" w:ascii="Arial" w:cs="Arial" w:hAnsi="Arial"/>
                  <w:color w:val="3370ff"/>
                  <w:sz w:val="22"/>
                </w:rPr>
                <w:t>市场洞察评审自检表V0.9</w:t>
              </w:r>
            </w:hyperlink>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通过自检的洞察报告</w:t>
            </w:r>
          </w:p>
        </w:tc>
        <w:tc>
          <w:tcPr>
            <w:tcW w:w="420" w:type="dxa"/>
            <w:vMerge w:val="continue"/>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numPr>
                <w:numId w:val="50"/>
              </w:numPr>
              <w:spacing w:before="120" w:after="120" w:line="288" w:lineRule="auto"/>
              <w:ind w:left="0"/>
              <w:jc w:val="left"/>
            </w:pPr>
            <w:r>
              <w:rPr>
                <w:rFonts w:eastAsia="等线" w:ascii="Arial" w:cs="Arial" w:hAnsi="Arial"/>
                <w:sz w:val="22"/>
              </w:rPr>
              <w:t>以专项洞察输出为基础，洞察主解题人带领洞察团队输出《市场洞察分析报告》</w:t>
            </w:r>
          </w:p>
          <w:p>
            <w:pPr>
              <w:numPr>
                <w:numId w:val="51"/>
              </w:numPr>
              <w:spacing w:before="120" w:after="120" w:line="288" w:lineRule="auto"/>
              <w:ind w:left="0"/>
              <w:jc w:val="left"/>
            </w:pPr>
            <w:r>
              <w:rPr>
                <w:rFonts w:eastAsia="等线" w:ascii="Arial" w:cs="Arial" w:hAnsi="Arial"/>
                <w:sz w:val="22"/>
              </w:rPr>
              <w:t>对照自检标准，检查洞察报告要素和质量</w:t>
            </w:r>
          </w:p>
          <w:p>
            <w:pPr>
              <w:numPr>
                <w:numId w:val="52"/>
              </w:numPr>
              <w:spacing w:before="120" w:after="120" w:line="288" w:lineRule="auto"/>
              <w:ind w:left="0"/>
              <w:jc w:val="left"/>
            </w:pPr>
            <w:r>
              <w:rPr>
                <w:rFonts w:eastAsia="等线" w:ascii="Arial" w:cs="Arial" w:hAnsi="Arial"/>
                <w:sz w:val="22"/>
              </w:rPr>
              <w:t>市场洞察本质属于管理和信息挖掘，是一种艺术，需要经验，依赖洞察专家的专业素养</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新增自检标准</w:t>
            </w:r>
          </w:p>
        </w:tc>
        <w:tc>
          <w:tcPr>
            <w:tcW w:w="525"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r>
              <w:rPr>
                <w:rFonts w:eastAsia="等线" w:ascii="Arial" w:cs="Arial" w:hAnsi="Arial"/>
                <w:sz w:val="22"/>
              </w:rPr>
              <w:t>《市场洞察评审自检表V0.9》</w:t>
            </w:r>
          </w:p>
          <w:p>
            <w:pPr>
              <w:spacing w:before="120" w:after="120" w:line="288" w:lineRule="auto"/>
              <w:ind w:left="0"/>
              <w:jc w:val="left"/>
            </w:pPr>
            <w:hyperlink r:id="rId21">
              <w:r>
                <w:rPr>
                  <w:rFonts w:eastAsia="等线" w:ascii="Arial" w:cs="Arial" w:hAnsi="Arial"/>
                  <w:color w:val="3370ff"/>
                  <w:sz w:val="22"/>
                </w:rPr>
                <w:t>市场洞察评审自检表V0.9</w:t>
              </w:r>
            </w:hyperlink>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r>
      <w:tr>
        <w:tc>
          <w:tcPr>
            <w:tcW w:w="2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洞察报告预评审</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1.使用 </w:t>
            </w:r>
            <w:hyperlink r:id="rId22">
              <w:r>
                <w:rPr>
                  <w:rFonts w:eastAsia="等线" w:ascii="Arial" w:cs="Arial" w:hAnsi="Arial"/>
                  <w:color w:val="3370ff"/>
                  <w:sz w:val="22"/>
                </w:rPr>
                <w:t>EBG战略洞察结题评审标准v0.9</w:t>
              </w:r>
            </w:hyperlink>
            <w:r>
              <w:rPr>
                <w:rFonts w:eastAsia="等线" w:ascii="Arial" w:cs="Arial" w:hAnsi="Arial"/>
                <w:sz w:val="22"/>
              </w:rPr>
              <w:t xml:space="preserve"> 进行洞察报告评审</w:t>
            </w:r>
          </w:p>
          <w:p>
            <w:pPr>
              <w:spacing w:before="120" w:after="120" w:line="288" w:lineRule="auto"/>
              <w:ind w:left="0"/>
              <w:jc w:val="left"/>
            </w:pPr>
            <w:r>
              <w:rPr>
                <w:rFonts w:eastAsia="等线" w:ascii="Arial" w:cs="Arial" w:hAnsi="Arial"/>
                <w:color w:val="d83931"/>
                <w:sz w:val="22"/>
              </w:rPr>
              <w:t>（注：区域机会洞察无需执行该环节）</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预评审人</w:t>
            </w:r>
          </w:p>
        </w:tc>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通过自检的洞察报告</w:t>
            </w:r>
          </w:p>
        </w:tc>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《市场洞察评审自检表V0.9》</w:t>
            </w:r>
          </w:p>
          <w:p>
            <w:pPr>
              <w:spacing w:before="120" w:after="120" w:line="288" w:lineRule="auto"/>
              <w:ind w:left="0"/>
              <w:jc w:val="left"/>
            </w:pPr>
            <w:hyperlink r:id="rId23">
              <w:r>
                <w:rPr>
                  <w:rFonts w:eastAsia="等线" w:ascii="Arial" w:cs="Arial" w:hAnsi="Arial"/>
                  <w:color w:val="3370ff"/>
                  <w:sz w:val="22"/>
                </w:rPr>
                <w:t>市场洞察评审自检表V0.9</w:t>
              </w:r>
            </w:hyperlink>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评审通过的洞察报告</w:t>
            </w:r>
          </w:p>
        </w:tc>
        <w:tc>
          <w:tcPr>
            <w:tcW w:w="420" w:type="dxa"/>
            <w:tcMar>
              <w:top w:type="dxa" w:w="60"/>
              <w:left w:type="dxa" w:w="120"/>
              <w:bottom w:type="dxa" w:w="30"/>
              <w:right w:type="dxa" w:w="120"/>
            </w:tcMar>
          </w:tcPr>
          <w:p>
            <w:pPr>
              <w:spacing w:before="120" w:after="120" w:line="288" w:lineRule="auto"/>
              <w:ind w:left="0"/>
              <w:jc w:val="left"/>
            </w:pPr>
            <w:hyperlink r:id="rId24">
              <w:r>
                <w:rPr>
                  <w:rFonts w:eastAsia="等线" w:ascii="Arial" w:cs="Arial" w:hAnsi="Arial"/>
                  <w:color w:val="3370ff"/>
                  <w:sz w:val="22"/>
                </w:rPr>
                <w:t>EBG战略洞察结题评审标准v0.9</w:t>
              </w:r>
            </w:hyperlink>
            <w:r>
              <w:rPr>
                <w:rFonts w:eastAsia="等线" w:ascii="Arial" w:cs="Arial" w:hAnsi="Arial"/>
                <w:sz w:val="22"/>
              </w:rPr>
              <w:t xml:space="preserve"> </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新增活动</w:t>
            </w:r>
          </w:p>
        </w:tc>
        <w:tc>
          <w:tcPr>
            <w:tcW w:w="525" w:type="dxa"/>
            <w:tcMar>
              <w:top w:type="dxa" w:w="60"/>
              <w:left w:type="dxa" w:w="120"/>
              <w:bottom w:type="dxa" w:w="30"/>
              <w:right w:type="dxa" w:w="120"/>
            </w:tcMar>
          </w:tcPr>
          <w:p>
            <w:pPr>
              <w:spacing w:before="120" w:after="120" w:line="288" w:lineRule="auto"/>
              <w:ind w:left="0"/>
              <w:jc w:val="left"/>
            </w:pPr>
            <w:hyperlink r:id="rId25">
              <w:r>
                <w:rPr>
                  <w:rFonts w:eastAsia="等线" w:ascii="Arial" w:cs="Arial" w:hAnsi="Arial"/>
                  <w:color w:val="3370ff"/>
                  <w:sz w:val="22"/>
                </w:rPr>
                <w:t>EBG战略洞察结题评审标准v0.9</w:t>
              </w:r>
            </w:hyperlink>
            <w:r>
              <w:rPr>
                <w:rFonts w:eastAsia="等线" w:ascii="Arial" w:cs="Arial" w:hAnsi="Arial"/>
                <w:sz w:val="22"/>
              </w:rPr>
              <w:t xml:space="preserve"> </w:t>
            </w:r>
          </w:p>
        </w:tc>
        <w:tc>
          <w:tcPr>
            <w:tcW w:w="525" w:type="dxa"/>
            <w:tcMar>
              <w:top w:type="dxa" w:w="60"/>
              <w:left w:type="dxa" w:w="120"/>
              <w:bottom w:type="dxa" w:w="30"/>
              <w:right w:type="dxa" w:w="120"/>
            </w:tcMar>
          </w:tcPr>
          <w:p>
            <w:pPr>
              <w:spacing w:before="120" w:after="120" w:line="288" w:lineRule="auto"/>
              <w:ind w:left="0"/>
              <w:jc w:val="left"/>
            </w:pPr>
          </w:p>
        </w:tc>
      </w:tr>
      <w:tr>
        <w:tc>
          <w:tcPr>
            <w:tcW w:w="2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洞察报告归档</w:t>
            </w:r>
          </w:p>
        </w:tc>
        <w:tc>
          <w:tcPr>
            <w:tcW w:w="1860" w:type="dxa"/>
            <w:tcMar>
              <w:top w:type="dxa" w:w="60"/>
              <w:left w:type="dxa" w:w="120"/>
              <w:bottom w:type="dxa" w:w="30"/>
              <w:right w:type="dxa" w:w="120"/>
            </w:tcMar>
          </w:tcPr>
          <w:p>
            <w:pPr>
              <w:numPr>
                <w:numId w:val="53"/>
              </w:numPr>
              <w:spacing w:before="120" w:after="120" w:line="288" w:lineRule="auto"/>
              <w:ind w:left="0"/>
              <w:jc w:val="left"/>
            </w:pPr>
            <w:r>
              <w:rPr>
                <w:rFonts w:eastAsia="等线" w:ascii="Arial" w:cs="Arial" w:hAnsi="Arial"/>
                <w:sz w:val="22"/>
              </w:rPr>
              <w:t>归档通过自检的洞察报告，发起决策评审</w:t>
            </w:r>
          </w:p>
          <w:p>
            <w:pPr>
              <w:numPr>
                <w:numId w:val="54"/>
              </w:numPr>
              <w:spacing w:before="120" w:after="120" w:line="288" w:lineRule="auto"/>
              <w:ind w:left="0"/>
              <w:jc w:val="left"/>
            </w:pPr>
            <w:r>
              <w:rPr>
                <w:rFonts w:eastAsia="等线" w:ascii="Arial" w:cs="Arial" w:hAnsi="Arial"/>
                <w:sz w:val="22"/>
              </w:rPr>
              <w:t>归档的洞察报告是下游“决策和行动”子流程的输入要件</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洞察主接题人</w:t>
            </w:r>
          </w:p>
        </w:tc>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通过自检的洞察报告</w:t>
            </w:r>
          </w:p>
        </w:tc>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通过内部预评审的洞察报告</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归档待审稿，发起正式评审</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r>
    </w:tbl>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区域/国家机会洞察的流程区别：</w:t>
            </w:r>
          </w:p>
          <w:p>
            <w:pPr>
              <w:spacing w:before="120" w:after="120" w:line="288" w:lineRule="auto"/>
              <w:ind w:left="0"/>
              <w:jc w:val="left"/>
            </w:pPr>
            <w:r>
              <w:rPr>
                <w:rFonts w:eastAsia="等线" w:ascii="Arial" w:cs="Arial" w:hAnsi="Arial"/>
                <w:sz w:val="22"/>
              </w:rPr>
              <w:t>1、不需要进行洞察假设，直接从开展专项洞察开始，直接开展信息收集、洞察分析、输出报告；</w:t>
            </w:r>
          </w:p>
          <w:p>
            <w:pPr>
              <w:spacing w:before="120" w:after="120" w:line="288" w:lineRule="auto"/>
              <w:ind w:left="0"/>
              <w:jc w:val="left"/>
            </w:pPr>
            <w:r>
              <w:rPr>
                <w:rFonts w:eastAsia="等线" w:ascii="Arial" w:cs="Arial" w:hAnsi="Arial"/>
                <w:sz w:val="22"/>
              </w:rPr>
              <w:t>2、不需要进行洞察报告预评审，自检完成后即可进行洞察报告总结归档；</w:t>
            </w:r>
          </w:p>
        </w:tc>
      </w:tr>
    </w:tbl>
    <w:p>
      <w:pPr>
        <w:pStyle w:val="3"/>
        <w:spacing w:before="300" w:after="120" w:line="288" w:lineRule="auto"/>
        <w:ind w:left="0"/>
        <w:jc w:val="left"/>
        <w:outlineLvl w:val="2"/>
      </w:pPr>
      <w:bookmarkStart w:name="heading_17" w:id="17"/>
      <w:r>
        <w:rPr>
          <w:rFonts w:eastAsia="等线" w:ascii="Arial" w:cs="Arial" w:hAnsi="Arial"/>
          <w:b w:val="true"/>
          <w:color w:val="245bdb"/>
          <w:sz w:val="30"/>
        </w:rPr>
        <w:t xml:space="preserve">5.3.2 </w:t>
      </w:r>
      <w:r>
        <w:rPr>
          <w:rFonts w:eastAsia="等线" w:ascii="Arial" w:cs="Arial" w:hAnsi="Arial"/>
          <w:b w:val="true"/>
          <w:sz w:val="30"/>
        </w:rPr>
        <w:t>主要角色活动说明</w:t>
      </w:r>
      <w:bookmarkEnd w:id="17"/>
    </w:p>
    <w:p>
      <w:pPr>
        <w:pStyle w:val="4"/>
        <w:spacing w:before="260" w:after="120" w:line="288" w:lineRule="auto"/>
        <w:ind w:left="0"/>
        <w:jc w:val="left"/>
        <w:outlineLvl w:val="3"/>
      </w:pPr>
      <w:bookmarkStart w:name="heading_18" w:id="18"/>
      <w:r>
        <w:rPr>
          <w:rFonts w:eastAsia="等线" w:ascii="Arial" w:cs="Arial" w:hAnsi="Arial"/>
          <w:b w:val="true"/>
          <w:color w:val="245bdb"/>
          <w:sz w:val="28"/>
        </w:rPr>
        <w:t xml:space="preserve">5.3.2.1 </w:t>
      </w:r>
      <w:r>
        <w:rPr>
          <w:rFonts w:eastAsia="等线" w:ascii="Arial" w:cs="Arial" w:hAnsi="Arial"/>
          <w:b w:val="true"/>
          <w:color w:val="d83931"/>
          <w:sz w:val="28"/>
        </w:rPr>
        <w:t>BG战略洞察/BU市场洞察类</w:t>
      </w:r>
      <w:r>
        <w:rPr>
          <w:rFonts w:eastAsia="等线" w:ascii="Arial" w:cs="Arial" w:hAnsi="Arial"/>
          <w:b w:val="true"/>
          <w:sz w:val="28"/>
        </w:rPr>
        <w:t>接题人活动说明（关键岗位说明）</w:t>
      </w:r>
      <w:bookmarkEnd w:id="18"/>
    </w:p>
    <w:p>
      <w:pPr>
        <w:spacing w:before="120" w:after="120" w:line="288" w:lineRule="auto"/>
        <w:ind w:left="0" w:firstLine="0"/>
        <w:jc w:val="left"/>
      </w:pPr>
      <w:r>
        <w:rPr>
          <w:rFonts w:eastAsia="等线" w:ascii="Arial" w:cs="Arial" w:hAnsi="Arial"/>
          <w:sz w:val="22"/>
        </w:rPr>
        <w:t>备注：接题人（包含：</w:t>
      </w:r>
      <w:r>
        <w:rPr>
          <w:rFonts w:eastAsia="等线" w:ascii="Arial" w:cs="Arial" w:hAnsi="Arial"/>
          <w:b w:val="true"/>
          <w:sz w:val="22"/>
        </w:rPr>
        <w:t>战略规划经理、解决方案经理，系统部行业拓展经理，产品BU</w:t>
      </w:r>
      <w:r>
        <w:rPr>
          <w:rFonts w:eastAsia="等线" w:ascii="Arial" w:cs="Arial" w:hAnsi="Arial"/>
          <w:sz w:val="22"/>
        </w:rPr>
        <w:t>（规划经理，系统规划和解决方案SE/SA，产品开发SE/架构师等）。</w:t>
      </w:r>
    </w:p>
    <w:p>
      <w:pPr>
        <w:spacing w:before="120" w:after="120" w:line="288" w:lineRule="auto"/>
        <w:ind w:left="0" w:firstLine="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19" w:id="19"/>
      <w:r>
        <w:rPr>
          <w:rFonts w:eastAsia="等线" w:ascii="Arial" w:cs="Arial" w:hAnsi="Arial"/>
          <w:b w:val="true"/>
          <w:color w:val="245bdb"/>
          <w:sz w:val="28"/>
        </w:rPr>
        <w:t xml:space="preserve">5.3.2.2 </w:t>
      </w:r>
      <w:r>
        <w:rPr>
          <w:rFonts w:eastAsia="等线" w:ascii="Arial" w:cs="Arial" w:hAnsi="Arial"/>
          <w:b w:val="true"/>
          <w:color w:val="d83931"/>
          <w:sz w:val="28"/>
        </w:rPr>
        <w:t>区域/国家机会洞察类</w:t>
      </w:r>
      <w:r>
        <w:rPr>
          <w:rFonts w:eastAsia="等线" w:ascii="Arial" w:cs="Arial" w:hAnsi="Arial"/>
          <w:b w:val="true"/>
          <w:sz w:val="28"/>
        </w:rPr>
        <w:t>接题人活动说明（关键岗位说明）</w:t>
      </w:r>
      <w:bookmarkEnd w:id="19"/>
    </w:p>
    <w:p>
      <w:pPr>
        <w:spacing w:before="120" w:after="120" w:line="288" w:lineRule="auto"/>
        <w:ind w:left="0" w:firstLine="0"/>
        <w:jc w:val="left"/>
      </w:pPr>
      <w:r>
        <w:rPr>
          <w:rFonts w:eastAsia="等线" w:ascii="Arial" w:cs="Arial" w:hAnsi="Arial"/>
          <w:sz w:val="22"/>
        </w:rPr>
        <w:t>备注：接题人包含：</w:t>
      </w:r>
      <w:r>
        <w:rPr>
          <w:rFonts w:eastAsia="等线" w:ascii="Arial" w:cs="Arial" w:hAnsi="Arial"/>
          <w:b w:val="true"/>
          <w:sz w:val="22"/>
        </w:rPr>
        <w:t>平台管理部区域经理、区域技术经理、销售、售前、售后；各国家-区域经理。</w:t>
      </w:r>
    </w:p>
    <w:p>
      <w:pPr>
        <w:spacing w:before="120" w:after="120" w:line="288" w:lineRule="auto"/>
        <w:ind w:left="0" w:firstLine="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20" w:id="20"/>
      <w:r>
        <w:rPr>
          <w:rFonts w:eastAsia="等线" w:ascii="Arial" w:cs="Arial" w:hAnsi="Arial"/>
          <w:b w:val="true"/>
          <w:color w:val="245bdb"/>
          <w:sz w:val="32"/>
        </w:rPr>
        <w:t xml:space="preserve">5.4 </w:t>
      </w:r>
      <w:r>
        <w:rPr>
          <w:rFonts w:eastAsia="等线" w:ascii="Arial" w:cs="Arial" w:hAnsi="Arial"/>
          <w:b w:val="true"/>
          <w:sz w:val="32"/>
        </w:rPr>
        <w:t>KCP/KDP说明及指导书</w:t>
      </w:r>
      <w:bookmarkEnd w:id="20"/>
    </w:p>
    <w:p>
      <w:pPr>
        <w:spacing w:before="120" w:after="120" w:line="288" w:lineRule="auto"/>
        <w:ind w:left="0" w:firstLine="0"/>
        <w:jc w:val="center"/>
      </w:pPr>
      <w:r>
        <w:rPr>
          <w:rFonts w:eastAsia="等线" w:ascii="Arial" w:cs="Arial" w:hAnsi="Arial"/>
          <w:b w:val="true"/>
          <w:sz w:val="22"/>
        </w:rPr>
        <w:t>点击图片可查看完整电子表格</w:t>
      </w:r>
    </w:p>
    <w:p>
      <w:pPr>
        <w:pStyle w:val="1"/>
        <w:spacing w:before="380" w:after="140" w:line="288" w:lineRule="auto"/>
        <w:ind w:left="0"/>
        <w:jc w:val="left"/>
        <w:outlineLvl w:val="0"/>
      </w:pPr>
      <w:bookmarkStart w:name="heading_21" w:id="21"/>
      <w:r>
        <w:rPr>
          <w:rFonts w:eastAsia="等线" w:ascii="Arial" w:cs="Arial" w:hAnsi="Arial"/>
          <w:b w:val="true"/>
          <w:color w:val="245bdb"/>
          <w:sz w:val="36"/>
        </w:rPr>
        <w:t xml:space="preserve">6. </w:t>
      </w:r>
      <w:r>
        <w:rPr>
          <w:rFonts w:eastAsia="等线" w:ascii="Arial" w:cs="Arial" w:hAnsi="Arial"/>
          <w:b w:val="true"/>
          <w:sz w:val="36"/>
        </w:rPr>
        <w:t>解释权限及生效日期</w:t>
      </w:r>
      <w:bookmarkEnd w:id="21"/>
    </w:p>
    <w:p>
      <w:pPr>
        <w:spacing w:before="120" w:after="120" w:line="288" w:lineRule="auto"/>
        <w:ind w:left="0" w:firstLine="0"/>
        <w:jc w:val="left"/>
      </w:pPr>
      <w:r>
        <w:rPr>
          <w:rFonts w:eastAsia="等线" w:ascii="Arial" w:cs="Arial" w:hAnsi="Arial"/>
          <w:sz w:val="22"/>
        </w:rPr>
        <w:t>本文档的解释权归属流程管理部。</w:t>
      </w:r>
    </w:p>
    <w:p>
      <w:pPr>
        <w:spacing w:before="120" w:after="120" w:line="288" w:lineRule="auto"/>
        <w:ind w:left="0" w:firstLine="0"/>
        <w:jc w:val="left"/>
      </w:pPr>
      <w:r>
        <w:rPr>
          <w:rFonts w:eastAsia="等线" w:ascii="Arial" w:cs="Arial" w:hAnsi="Arial"/>
          <w:sz w:val="22"/>
        </w:rPr>
        <w:t>本文档自发布之日起至V1.0版本发布前生效。</w:t>
      </w:r>
    </w:p>
    <w:p>
      <w:pPr>
        <w:spacing w:before="120" w:after="120" w:line="288" w:lineRule="auto"/>
        <w:ind w:left="0" w:firstLine="0"/>
        <w:jc w:val="left"/>
      </w:pPr>
    </w:p>
    <w:p>
      <w:pPr>
        <w:pStyle w:val="1"/>
        <w:spacing w:before="380" w:after="140" w:line="288" w:lineRule="auto"/>
        <w:ind w:left="0"/>
        <w:jc w:val="left"/>
        <w:outlineLvl w:val="0"/>
      </w:pPr>
      <w:bookmarkStart w:name="heading_22" w:id="22"/>
      <w:r>
        <w:rPr>
          <w:rFonts w:eastAsia="等线" w:ascii="Arial" w:cs="Arial" w:hAnsi="Arial"/>
          <w:b w:val="true"/>
          <w:color w:val="245bdb"/>
          <w:sz w:val="36"/>
        </w:rPr>
        <w:t xml:space="preserve">7. </w:t>
      </w:r>
      <w:r>
        <w:rPr>
          <w:rFonts w:eastAsia="等线" w:ascii="Arial" w:cs="Arial" w:hAnsi="Arial"/>
          <w:b w:val="true"/>
          <w:sz w:val="36"/>
        </w:rPr>
        <w:t>流程运转机制</w:t>
      </w:r>
      <w:r>
        <w:rPr>
          <w:rFonts w:eastAsia="等线" w:ascii="Arial" w:cs="Arial" w:hAnsi="Arial"/>
          <w:b w:val="true"/>
          <w:color w:val="d83931"/>
          <w:sz w:val="36"/>
        </w:rPr>
        <w:t>（立项执行及运转奖惩文件）</w:t>
      </w:r>
      <w:bookmarkEnd w:id="2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10"/>
        <w:gridCol w:w="6570"/>
      </w:tblGrid>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w:t>
            </w:r>
          </w:p>
        </w:tc>
        <w:tc>
          <w:tcPr>
            <w:tcW w:w="65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流程运转机制</w:t>
            </w:r>
          </w:p>
        </w:tc>
      </w:tr>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M2.3开展洞察输出分析报告</w:t>
            </w:r>
          </w:p>
        </w:tc>
        <w:tc>
          <w:tcPr>
            <w:tcW w:w="6570" w:type="dxa"/>
            <w:tcMar>
              <w:top w:type="dxa" w:w="60"/>
              <w:left w:type="dxa" w:w="120"/>
              <w:bottom w:type="dxa" w:w="30"/>
              <w:right w:type="dxa" w:w="120"/>
            </w:tcMar>
          </w:tcPr>
          <w:p>
            <w:pPr>
              <w:spacing w:before="120" w:after="120" w:line="288" w:lineRule="auto"/>
              <w:ind w:left="0"/>
              <w:jc w:val="left"/>
            </w:pPr>
            <w:hyperlink r:id="rId26">
              <w:r>
                <w:rPr>
                  <w:rFonts w:eastAsia="等线" w:ascii="Arial" w:cs="Arial" w:hAnsi="Arial"/>
                  <w:color w:val="3370ff"/>
                  <w:sz w:val="22"/>
                </w:rPr>
                <w:t>联合洞察运行管理机制</w:t>
              </w:r>
            </w:hyperlink>
            <w:r>
              <w:rPr>
                <w:rFonts w:eastAsia="等线" w:ascii="Arial" w:cs="Arial" w:hAnsi="Arial"/>
                <w:sz w:val="22"/>
              </w:rPr>
              <w:t>（主责人机制、例会机制）</w:t>
            </w:r>
          </w:p>
        </w:tc>
      </w:tr>
    </w:tbl>
    <w:p>
      <w:pPr>
        <w:pStyle w:val="1"/>
        <w:spacing w:before="380" w:after="140" w:line="288" w:lineRule="auto"/>
        <w:ind w:left="0"/>
        <w:jc w:val="left"/>
        <w:outlineLvl w:val="0"/>
      </w:pPr>
      <w:bookmarkStart w:name="heading_23" w:id="23"/>
      <w:r>
        <w:rPr>
          <w:rFonts w:eastAsia="等线" w:ascii="Arial" w:cs="Arial" w:hAnsi="Arial"/>
          <w:b w:val="true"/>
          <w:color w:val="245bdb"/>
          <w:sz w:val="36"/>
        </w:rPr>
        <w:t xml:space="preserve">8. </w:t>
      </w:r>
      <w:r>
        <w:rPr>
          <w:rFonts w:eastAsia="等线" w:ascii="Arial" w:cs="Arial" w:hAnsi="Arial"/>
          <w:b w:val="true"/>
          <w:sz w:val="36"/>
        </w:rPr>
        <w:t>IT系统支持表</w:t>
      </w:r>
      <w:bookmarkEnd w:id="2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95"/>
        <w:gridCol w:w="3285"/>
        <w:gridCol w:w="930"/>
        <w:gridCol w:w="690"/>
        <w:gridCol w:w="690"/>
        <w:gridCol w:w="1020"/>
        <w:gridCol w:w="870"/>
      </w:tblGrid>
      <w:tr>
        <w:tc>
          <w:tcPr>
            <w:tcW w:w="795" w:type="dxa"/>
            <w:tcMar>
              <w:top w:type="dxa" w:w="60"/>
              <w:left w:type="dxa" w:w="120"/>
              <w:bottom w:type="dxa" w:w="30"/>
              <w:right w:type="dxa" w:w="120"/>
            </w:tcMar>
          </w:tcPr>
          <w:p>
            <w:pPr>
              <w:spacing w:before="120" w:after="120" w:line="288" w:lineRule="auto"/>
              <w:ind w:left="0"/>
              <w:jc w:val="left"/>
            </w:pPr>
          </w:p>
        </w:tc>
        <w:tc>
          <w:tcPr>
            <w:tcW w:w="32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需求</w:t>
            </w: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IT系统</w:t>
            </w:r>
          </w:p>
        </w:tc>
        <w:tc>
          <w:tcPr>
            <w:tcW w:w="6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IT系统当前状态</w:t>
            </w:r>
          </w:p>
        </w:tc>
        <w:tc>
          <w:tcPr>
            <w:tcW w:w="6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是否影响V0.9跑起来</w:t>
            </w:r>
          </w:p>
        </w:tc>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提出人</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预期实现时间</w:t>
            </w:r>
          </w:p>
        </w:tc>
      </w:tr>
      <w:tr>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优秀案例库</w:t>
            </w:r>
          </w:p>
        </w:tc>
        <w:tc>
          <w:tcPr>
            <w:tcW w:w="3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决策评审通过的优秀洞察，经过脱敏处理后，收录到优秀案例库</w:t>
            </w:r>
          </w:p>
          <w:p>
            <w:pPr>
              <w:spacing w:before="120" w:after="120" w:line="288" w:lineRule="auto"/>
              <w:ind w:left="0"/>
              <w:jc w:val="left"/>
            </w:pPr>
            <w:r>
              <w:rPr>
                <w:rFonts w:eastAsia="等线" w:ascii="Arial" w:cs="Arial" w:hAnsi="Arial"/>
                <w:sz w:val="22"/>
              </w:rPr>
              <w:t>2.  向公司内部洞察专家和管理层公开，以优秀案例促进洞察能力提升</w:t>
            </w:r>
          </w:p>
          <w:p>
            <w:pPr>
              <w:spacing w:before="120" w:after="120" w:line="288" w:lineRule="auto"/>
              <w:ind w:left="0"/>
              <w:jc w:val="left"/>
            </w:pPr>
            <w:r>
              <w:rPr>
                <w:rFonts w:eastAsia="等线" w:ascii="Arial" w:cs="Arial" w:hAnsi="Arial"/>
                <w:sz w:val="22"/>
              </w:rPr>
              <w:t>3.  管理平台统计优秀案例入库数据，访问数据，支持留言评论</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需要新开发</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没有系统</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Eric</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Q2</w:t>
            </w:r>
          </w:p>
        </w:tc>
      </w:tr>
    </w:tbl>
    <w:p>
      <w:pPr>
        <w:spacing w:before="120" w:after="120" w:line="288" w:lineRule="auto"/>
        <w:ind w:left="0" w:firstLine="0"/>
        <w:jc w:val="left"/>
      </w:pPr>
    </w:p>
    <w:p>
      <w:pPr>
        <w:spacing w:before="120" w:after="120" w:line="288" w:lineRule="auto"/>
        <w:ind w:left="0" w:firstLine="0"/>
        <w:jc w:val="left"/>
      </w:pPr>
    </w:p>
    <w:p>
      <w:pPr>
        <w:pStyle w:val="1"/>
        <w:spacing w:before="380" w:after="140" w:line="288" w:lineRule="auto"/>
        <w:ind w:left="0"/>
        <w:jc w:val="left"/>
        <w:outlineLvl w:val="0"/>
      </w:pPr>
      <w:bookmarkStart w:name="heading_24" w:id="24"/>
      <w:bookmarkEnd w:id="24"/>
    </w:p>
    <w:sectPr>
      <w:footerReference w:type="default" r:id="rId3"/>
      <w:headerReference w:type="default" r:id="rId2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21551">
    <w:lvl>
      <w:numFmt w:val="bullet"/>
      <w:suff w:val="tab"/>
      <w:lvlText w:val="•"/>
      <w:rPr>
        <w:color w:val="3370ff"/>
      </w:rPr>
    </w:lvl>
  </w:abstractNum>
  <w:abstractNum w:abstractNumId="21552">
    <w:lvl>
      <w:numFmt w:val="bullet"/>
      <w:suff w:val="tab"/>
      <w:lvlText w:val="•"/>
      <w:rPr>
        <w:color w:val="3370ff"/>
      </w:rPr>
    </w:lvl>
  </w:abstractNum>
  <w:abstractNum w:abstractNumId="21553">
    <w:lvl>
      <w:numFmt w:val="bullet"/>
      <w:suff w:val="tab"/>
      <w:lvlText w:val="•"/>
      <w:rPr>
        <w:color w:val="3370ff"/>
      </w:rPr>
    </w:lvl>
  </w:abstractNum>
  <w:abstractNum w:abstractNumId="21554">
    <w:lvl>
      <w:numFmt w:val="bullet"/>
      <w:suff w:val="tab"/>
      <w:lvlText w:val="•"/>
      <w:rPr>
        <w:color w:val="3370ff"/>
      </w:rPr>
    </w:lvl>
  </w:abstractNum>
  <w:abstractNum w:abstractNumId="21555">
    <w:lvl>
      <w:numFmt w:val="bullet"/>
      <w:suff w:val="tab"/>
      <w:lvlText w:val="•"/>
      <w:rPr>
        <w:color w:val="3370ff"/>
      </w:rPr>
    </w:lvl>
  </w:abstractNum>
  <w:abstractNum w:abstractNumId="21556">
    <w:lvl>
      <w:start w:val="1"/>
      <w:numFmt w:val="decimal"/>
      <w:suff w:val="tab"/>
      <w:lvlText w:val="%1."/>
      <w:rPr>
        <w:color w:val="3370ff"/>
      </w:rPr>
    </w:lvl>
  </w:abstractNum>
  <w:abstractNum w:abstractNumId="21557">
    <w:lvl>
      <w:numFmt w:val="bullet"/>
      <w:suff w:val="tab"/>
      <w:lvlText w:val="•"/>
      <w:rPr>
        <w:color w:val="3370ff"/>
      </w:rPr>
    </w:lvl>
  </w:abstractNum>
  <w:abstractNum w:abstractNumId="21558">
    <w:lvl>
      <w:numFmt w:val="bullet"/>
      <w:suff w:val="tab"/>
      <w:lvlText w:val="•"/>
      <w:rPr>
        <w:color w:val="3370ff"/>
      </w:rPr>
    </w:lvl>
  </w:abstractNum>
  <w:abstractNum w:abstractNumId="21559">
    <w:lvl>
      <w:start w:val="1"/>
      <w:numFmt w:val="decimal"/>
      <w:suff w:val="tab"/>
      <w:lvlText w:val="%1."/>
      <w:rPr>
        <w:color w:val="3370ff"/>
      </w:rPr>
    </w:lvl>
  </w:abstractNum>
  <w:abstractNum w:abstractNumId="21560">
    <w:lvl>
      <w:start w:val="2"/>
      <w:numFmt w:val="decimal"/>
      <w:suff w:val="tab"/>
      <w:lvlText w:val="%1."/>
      <w:rPr>
        <w:color w:val="3370ff"/>
      </w:rPr>
    </w:lvl>
  </w:abstractNum>
  <w:abstractNum w:abstractNumId="21561">
    <w:lvl>
      <w:start w:val="3"/>
      <w:numFmt w:val="decimal"/>
      <w:suff w:val="tab"/>
      <w:lvlText w:val="%1."/>
      <w:rPr>
        <w:color w:val="3370ff"/>
      </w:rPr>
    </w:lvl>
  </w:abstractNum>
  <w:abstractNum w:abstractNumId="21562">
    <w:lvl>
      <w:start w:val="4"/>
      <w:numFmt w:val="decimal"/>
      <w:suff w:val="tab"/>
      <w:lvlText w:val="%1."/>
      <w:rPr>
        <w:color w:val="3370ff"/>
      </w:rPr>
    </w:lvl>
  </w:abstractNum>
  <w:abstractNum w:abstractNumId="21563">
    <w:lvl>
      <w:start w:val="5"/>
      <w:numFmt w:val="decimal"/>
      <w:suff w:val="tab"/>
      <w:lvlText w:val="%1."/>
      <w:rPr>
        <w:color w:val="3370ff"/>
      </w:rPr>
    </w:lvl>
  </w:abstractNum>
  <w:abstractNum w:abstractNumId="21564">
    <w:lvl>
      <w:start w:val="6"/>
      <w:numFmt w:val="decimal"/>
      <w:suff w:val="tab"/>
      <w:lvlText w:val="%1."/>
      <w:rPr>
        <w:color w:val="3370ff"/>
      </w:rPr>
    </w:lvl>
  </w:abstractNum>
  <w:abstractNum w:abstractNumId="21565">
    <w:lvl>
      <w:numFmt w:val="bullet"/>
      <w:suff w:val="tab"/>
      <w:lvlText w:val="•"/>
      <w:rPr>
        <w:color w:val="3370ff"/>
      </w:rPr>
    </w:lvl>
  </w:abstractNum>
  <w:abstractNum w:abstractNumId="21566">
    <w:lvl>
      <w:numFmt w:val="bullet"/>
      <w:suff w:val="tab"/>
      <w:lvlText w:val="•"/>
      <w:rPr>
        <w:color w:val="3370ff"/>
      </w:rPr>
    </w:lvl>
  </w:abstractNum>
  <w:abstractNum w:abstractNumId="21567">
    <w:lvl>
      <w:start w:val="1"/>
      <w:numFmt w:val="decimal"/>
      <w:suff w:val="tab"/>
      <w:lvlText w:val="%1."/>
      <w:rPr>
        <w:color w:val="3370ff"/>
      </w:rPr>
    </w:lvl>
  </w:abstractNum>
  <w:abstractNum w:abstractNumId="21568">
    <w:lvl>
      <w:start w:val="2"/>
      <w:numFmt w:val="decimal"/>
      <w:suff w:val="tab"/>
      <w:lvlText w:val="%1."/>
      <w:rPr>
        <w:color w:val="3370ff"/>
      </w:rPr>
    </w:lvl>
  </w:abstractNum>
  <w:abstractNum w:abstractNumId="21569">
    <w:lvl>
      <w:start w:val="3"/>
      <w:numFmt w:val="decimal"/>
      <w:suff w:val="tab"/>
      <w:lvlText w:val="%1."/>
      <w:rPr>
        <w:color w:val="3370ff"/>
      </w:rPr>
    </w:lvl>
  </w:abstractNum>
  <w:abstractNum w:abstractNumId="21570">
    <w:lvl>
      <w:start w:val="4"/>
      <w:numFmt w:val="decimal"/>
      <w:suff w:val="tab"/>
      <w:lvlText w:val="%1."/>
      <w:rPr>
        <w:color w:val="3370ff"/>
      </w:rPr>
    </w:lvl>
  </w:abstractNum>
  <w:abstractNum w:abstractNumId="21571">
    <w:lvl>
      <w:start w:val="5"/>
      <w:numFmt w:val="decimal"/>
      <w:suff w:val="tab"/>
      <w:lvlText w:val="%1."/>
      <w:rPr>
        <w:color w:val="3370ff"/>
      </w:rPr>
    </w:lvl>
  </w:abstractNum>
  <w:abstractNum w:abstractNumId="21572">
    <w:lvl>
      <w:start w:val="6"/>
      <w:numFmt w:val="decimal"/>
      <w:suff w:val="tab"/>
      <w:lvlText w:val="%1."/>
      <w:rPr>
        <w:color w:val="3370ff"/>
      </w:rPr>
    </w:lvl>
  </w:abstractNum>
  <w:abstractNum w:abstractNumId="21573">
    <w:lvl>
      <w:start w:val="7"/>
      <w:numFmt w:val="decimal"/>
      <w:suff w:val="tab"/>
      <w:lvlText w:val="%1."/>
      <w:rPr>
        <w:color w:val="3370ff"/>
      </w:rPr>
    </w:lvl>
  </w:abstractNum>
  <w:abstractNum w:abstractNumId="21574">
    <w:lvl>
      <w:start w:val="1"/>
      <w:numFmt w:val="decimal"/>
      <w:suff w:val="tab"/>
      <w:lvlText w:val="%1."/>
      <w:rPr>
        <w:color w:val="3370ff"/>
      </w:rPr>
    </w:lvl>
  </w:abstractNum>
  <w:abstractNum w:abstractNumId="21575">
    <w:lvl>
      <w:start w:val="2"/>
      <w:numFmt w:val="decimal"/>
      <w:suff w:val="tab"/>
      <w:lvlText w:val="%1."/>
      <w:rPr>
        <w:color w:val="3370ff"/>
      </w:rPr>
    </w:lvl>
  </w:abstractNum>
  <w:abstractNum w:abstractNumId="21576">
    <w:lvl>
      <w:start w:val="1"/>
      <w:numFmt w:val="decimal"/>
      <w:suff w:val="tab"/>
      <w:lvlText w:val="%1."/>
      <w:rPr>
        <w:color w:val="3370ff"/>
      </w:rPr>
    </w:lvl>
  </w:abstractNum>
  <w:abstractNum w:abstractNumId="21577">
    <w:lvl>
      <w:start w:val="2"/>
      <w:numFmt w:val="decimal"/>
      <w:suff w:val="tab"/>
      <w:lvlText w:val="%1."/>
      <w:rPr>
        <w:color w:val="3370ff"/>
      </w:rPr>
    </w:lvl>
  </w:abstractNum>
  <w:abstractNum w:abstractNumId="21578">
    <w:lvl>
      <w:start w:val="3"/>
      <w:numFmt w:val="decimal"/>
      <w:suff w:val="tab"/>
      <w:lvlText w:val="%1."/>
      <w:rPr>
        <w:color w:val="3370ff"/>
      </w:rPr>
    </w:lvl>
  </w:abstractNum>
  <w:abstractNum w:abstractNumId="21579">
    <w:lvl>
      <w:start w:val="4"/>
      <w:numFmt w:val="decimal"/>
      <w:suff w:val="tab"/>
      <w:lvlText w:val="%1."/>
      <w:rPr>
        <w:color w:val="3370ff"/>
      </w:rPr>
    </w:lvl>
  </w:abstractNum>
  <w:abstractNum w:abstractNumId="21580">
    <w:lvl>
      <w:start w:val="1"/>
      <w:numFmt w:val="decimal"/>
      <w:suff w:val="tab"/>
      <w:lvlText w:val="%1."/>
      <w:rPr>
        <w:color w:val="3370ff"/>
      </w:rPr>
    </w:lvl>
  </w:abstractNum>
  <w:abstractNum w:abstractNumId="21581">
    <w:lvl>
      <w:start w:val="2"/>
      <w:numFmt w:val="decimal"/>
      <w:suff w:val="tab"/>
      <w:lvlText w:val="%1."/>
      <w:rPr>
        <w:color w:val="3370ff"/>
      </w:rPr>
    </w:lvl>
  </w:abstractNum>
  <w:abstractNum w:abstractNumId="21582">
    <w:lvl>
      <w:start w:val="1"/>
      <w:numFmt w:val="decimal"/>
      <w:suff w:val="tab"/>
      <w:lvlText w:val="%1."/>
      <w:rPr>
        <w:color w:val="3370ff"/>
      </w:rPr>
    </w:lvl>
  </w:abstractNum>
  <w:abstractNum w:abstractNumId="21583">
    <w:lvl>
      <w:start w:val="2"/>
      <w:numFmt w:val="decimal"/>
      <w:suff w:val="tab"/>
      <w:lvlText w:val="%1."/>
      <w:rPr>
        <w:color w:val="3370ff"/>
      </w:rPr>
    </w:lvl>
  </w:abstractNum>
  <w:abstractNum w:abstractNumId="21584">
    <w:lvl>
      <w:start w:val="3"/>
      <w:numFmt w:val="decimal"/>
      <w:suff w:val="tab"/>
      <w:lvlText w:val="%1."/>
      <w:rPr>
        <w:color w:val="3370ff"/>
      </w:rPr>
    </w:lvl>
  </w:abstractNum>
  <w:abstractNum w:abstractNumId="21585">
    <w:lvl>
      <w:start w:val="1"/>
      <w:numFmt w:val="decimal"/>
      <w:suff w:val="tab"/>
      <w:lvlText w:val="%1."/>
      <w:rPr>
        <w:color w:val="3370ff"/>
      </w:rPr>
    </w:lvl>
  </w:abstractNum>
  <w:abstractNum w:abstractNumId="21586">
    <w:lvl>
      <w:start w:val="2"/>
      <w:numFmt w:val="decimal"/>
      <w:suff w:val="tab"/>
      <w:lvlText w:val="%1."/>
      <w:rPr>
        <w:color w:val="3370ff"/>
      </w:rPr>
    </w:lvl>
  </w:abstractNum>
  <w:abstractNum w:abstractNumId="21587">
    <w:lvl>
      <w:start w:val="3"/>
      <w:numFmt w:val="decimal"/>
      <w:suff w:val="tab"/>
      <w:lvlText w:val="%1."/>
      <w:rPr>
        <w:color w:val="3370ff"/>
      </w:rPr>
    </w:lvl>
  </w:abstractNum>
  <w:abstractNum w:abstractNumId="21588">
    <w:lvl>
      <w:start w:val="4"/>
      <w:numFmt w:val="decimal"/>
      <w:suff w:val="tab"/>
      <w:lvlText w:val="%1."/>
      <w:rPr>
        <w:color w:val="3370ff"/>
      </w:rPr>
    </w:lvl>
  </w:abstractNum>
  <w:abstractNum w:abstractNumId="21589">
    <w:lvl>
      <w:start w:val="1"/>
      <w:numFmt w:val="decimal"/>
      <w:suff w:val="tab"/>
      <w:lvlText w:val="%1."/>
      <w:rPr>
        <w:color w:val="3370ff"/>
      </w:rPr>
    </w:lvl>
  </w:abstractNum>
  <w:abstractNum w:abstractNumId="21590">
    <w:lvl>
      <w:start w:val="2"/>
      <w:numFmt w:val="decimal"/>
      <w:suff w:val="tab"/>
      <w:lvlText w:val="%1."/>
      <w:rPr>
        <w:color w:val="3370ff"/>
      </w:rPr>
    </w:lvl>
  </w:abstractNum>
  <w:abstractNum w:abstractNumId="21591">
    <w:lvl>
      <w:start w:val="1"/>
      <w:numFmt w:val="decimal"/>
      <w:suff w:val="tab"/>
      <w:lvlText w:val="%1."/>
      <w:rPr>
        <w:color w:val="3370ff"/>
      </w:rPr>
    </w:lvl>
  </w:abstractNum>
  <w:abstractNum w:abstractNumId="21592">
    <w:lvl>
      <w:start w:val="2"/>
      <w:numFmt w:val="decimal"/>
      <w:suff w:val="tab"/>
      <w:lvlText w:val="%1."/>
      <w:rPr>
        <w:color w:val="3370ff"/>
      </w:rPr>
    </w:lvl>
  </w:abstractNum>
  <w:abstractNum w:abstractNumId="21593">
    <w:lvl>
      <w:start w:val="3"/>
      <w:numFmt w:val="decimal"/>
      <w:suff w:val="tab"/>
      <w:lvlText w:val="%1."/>
      <w:rPr>
        <w:color w:val="3370ff"/>
      </w:rPr>
    </w:lvl>
  </w:abstractNum>
  <w:abstractNum w:abstractNumId="21594">
    <w:lvl>
      <w:start w:val="1"/>
      <w:numFmt w:val="decimal"/>
      <w:suff w:val="tab"/>
      <w:lvlText w:val="%1."/>
      <w:rPr>
        <w:color w:val="3370ff"/>
      </w:rPr>
    </w:lvl>
  </w:abstractNum>
  <w:abstractNum w:abstractNumId="21595">
    <w:lvl>
      <w:start w:val="1"/>
      <w:numFmt w:val="decimal"/>
      <w:suff w:val="tab"/>
      <w:lvlText w:val="%1."/>
      <w:rPr>
        <w:color w:val="3370ff"/>
      </w:rPr>
    </w:lvl>
  </w:abstractNum>
  <w:abstractNum w:abstractNumId="21596">
    <w:lvl>
      <w:start w:val="1"/>
      <w:numFmt w:val="decimal"/>
      <w:suff w:val="tab"/>
      <w:lvlText w:val="%1."/>
      <w:rPr>
        <w:color w:val="3370ff"/>
      </w:rPr>
    </w:lvl>
  </w:abstractNum>
  <w:abstractNum w:abstractNumId="21597">
    <w:lvl>
      <w:start w:val="2"/>
      <w:numFmt w:val="decimal"/>
      <w:suff w:val="tab"/>
      <w:lvlText w:val="%1."/>
      <w:rPr>
        <w:color w:val="3370ff"/>
      </w:rPr>
    </w:lvl>
  </w:abstractNum>
  <w:abstractNum w:abstractNumId="21598">
    <w:lvl>
      <w:start w:val="3"/>
      <w:numFmt w:val="decimal"/>
      <w:suff w:val="tab"/>
      <w:lvlText w:val="%1."/>
      <w:rPr>
        <w:color w:val="3370ff"/>
      </w:rPr>
    </w:lvl>
  </w:abstractNum>
  <w:abstractNum w:abstractNumId="21599">
    <w:lvl>
      <w:start w:val="4"/>
      <w:numFmt w:val="decimal"/>
      <w:suff w:val="tab"/>
      <w:lvlText w:val="%1."/>
      <w:rPr>
        <w:color w:val="3370ff"/>
      </w:rPr>
    </w:lvl>
  </w:abstractNum>
  <w:abstractNum w:abstractNumId="21600">
    <w:lvl>
      <w:start w:val="1"/>
      <w:numFmt w:val="decimal"/>
      <w:suff w:val="tab"/>
      <w:lvlText w:val="%1."/>
      <w:rPr>
        <w:color w:val="3370ff"/>
      </w:rPr>
    </w:lvl>
  </w:abstractNum>
  <w:abstractNum w:abstractNumId="21601">
    <w:lvl>
      <w:start w:val="2"/>
      <w:numFmt w:val="decimal"/>
      <w:suff w:val="tab"/>
      <w:lvlText w:val="%1."/>
      <w:rPr>
        <w:color w:val="3370ff"/>
      </w:rPr>
    </w:lvl>
  </w:abstractNum>
  <w:abstractNum w:abstractNumId="21602">
    <w:lvl>
      <w:start w:val="3"/>
      <w:numFmt w:val="decimal"/>
      <w:suff w:val="tab"/>
      <w:lvlText w:val="%1."/>
      <w:rPr>
        <w:color w:val="3370ff"/>
      </w:rPr>
    </w:lvl>
  </w:abstractNum>
  <w:abstractNum w:abstractNumId="21603">
    <w:lvl>
      <w:start w:val="1"/>
      <w:numFmt w:val="decimal"/>
      <w:suff w:val="tab"/>
      <w:lvlText w:val="%1."/>
      <w:rPr>
        <w:color w:val="3370ff"/>
      </w:rPr>
    </w:lvl>
  </w:abstractNum>
  <w:abstractNum w:abstractNumId="21604">
    <w:lvl>
      <w:start w:val="2"/>
      <w:numFmt w:val="decimal"/>
      <w:suff w:val="tab"/>
      <w:lvlText w:val="%1."/>
      <w:rPr>
        <w:color w:val="3370ff"/>
      </w:rPr>
    </w:lvl>
  </w:abstractNum>
  <w:num w:numId="1">
    <w:abstractNumId w:val="21551"/>
  </w:num>
  <w:num w:numId="2">
    <w:abstractNumId w:val="21552"/>
  </w:num>
  <w:num w:numId="3">
    <w:abstractNumId w:val="21553"/>
  </w:num>
  <w:num w:numId="4">
    <w:abstractNumId w:val="21554"/>
  </w:num>
  <w:num w:numId="5">
    <w:abstractNumId w:val="21555"/>
  </w:num>
  <w:num w:numId="6">
    <w:abstractNumId w:val="21556"/>
  </w:num>
  <w:num w:numId="7">
    <w:abstractNumId w:val="21557"/>
  </w:num>
  <w:num w:numId="8">
    <w:abstractNumId w:val="21558"/>
  </w:num>
  <w:num w:numId="9">
    <w:abstractNumId w:val="21559"/>
  </w:num>
  <w:num w:numId="10">
    <w:abstractNumId w:val="21560"/>
  </w:num>
  <w:num w:numId="11">
    <w:abstractNumId w:val="21561"/>
  </w:num>
  <w:num w:numId="12">
    <w:abstractNumId w:val="21562"/>
  </w:num>
  <w:num w:numId="13">
    <w:abstractNumId w:val="21563"/>
  </w:num>
  <w:num w:numId="14">
    <w:abstractNumId w:val="21564"/>
  </w:num>
  <w:num w:numId="15">
    <w:abstractNumId w:val="21565"/>
  </w:num>
  <w:num w:numId="16">
    <w:abstractNumId w:val="21566"/>
  </w:num>
  <w:num w:numId="17">
    <w:abstractNumId w:val="21567"/>
  </w:num>
  <w:num w:numId="18">
    <w:abstractNumId w:val="21568"/>
  </w:num>
  <w:num w:numId="19">
    <w:abstractNumId w:val="21569"/>
  </w:num>
  <w:num w:numId="20">
    <w:abstractNumId w:val="21570"/>
  </w:num>
  <w:num w:numId="21">
    <w:abstractNumId w:val="21571"/>
  </w:num>
  <w:num w:numId="22">
    <w:abstractNumId w:val="21572"/>
  </w:num>
  <w:num w:numId="23">
    <w:abstractNumId w:val="21573"/>
  </w:num>
  <w:num w:numId="24">
    <w:abstractNumId w:val="21574"/>
  </w:num>
  <w:num w:numId="25">
    <w:abstractNumId w:val="21575"/>
  </w:num>
  <w:num w:numId="26">
    <w:abstractNumId w:val="21576"/>
  </w:num>
  <w:num w:numId="27">
    <w:abstractNumId w:val="21577"/>
  </w:num>
  <w:num w:numId="28">
    <w:abstractNumId w:val="21578"/>
  </w:num>
  <w:num w:numId="29">
    <w:abstractNumId w:val="21579"/>
  </w:num>
  <w:num w:numId="30">
    <w:abstractNumId w:val="21580"/>
  </w:num>
  <w:num w:numId="31">
    <w:abstractNumId w:val="21581"/>
  </w:num>
  <w:num w:numId="32">
    <w:abstractNumId w:val="21582"/>
  </w:num>
  <w:num w:numId="33">
    <w:abstractNumId w:val="21583"/>
  </w:num>
  <w:num w:numId="34">
    <w:abstractNumId w:val="21584"/>
  </w:num>
  <w:num w:numId="35">
    <w:abstractNumId w:val="21585"/>
  </w:num>
  <w:num w:numId="36">
    <w:abstractNumId w:val="21586"/>
  </w:num>
  <w:num w:numId="37">
    <w:abstractNumId w:val="21587"/>
  </w:num>
  <w:num w:numId="38">
    <w:abstractNumId w:val="21588"/>
  </w:num>
  <w:num w:numId="39">
    <w:abstractNumId w:val="21589"/>
  </w:num>
  <w:num w:numId="40">
    <w:abstractNumId w:val="21590"/>
  </w:num>
  <w:num w:numId="41">
    <w:abstractNumId w:val="21591"/>
  </w:num>
  <w:num w:numId="42">
    <w:abstractNumId w:val="21592"/>
  </w:num>
  <w:num w:numId="43">
    <w:abstractNumId w:val="21593"/>
  </w:num>
  <w:num w:numId="44">
    <w:abstractNumId w:val="21594"/>
  </w:num>
  <w:num w:numId="45">
    <w:abstractNumId w:val="21595"/>
  </w:num>
  <w:num w:numId="46">
    <w:abstractNumId w:val="21596"/>
  </w:num>
  <w:num w:numId="47">
    <w:abstractNumId w:val="21597"/>
  </w:num>
  <w:num w:numId="48">
    <w:abstractNumId w:val="21598"/>
  </w:num>
  <w:num w:numId="49">
    <w:abstractNumId w:val="21599"/>
  </w:num>
  <w:num w:numId="50">
    <w:abstractNumId w:val="21600"/>
  </w:num>
  <w:num w:numId="51">
    <w:abstractNumId w:val="21601"/>
  </w:num>
  <w:num w:numId="52">
    <w:abstractNumId w:val="21602"/>
  </w:num>
  <w:num w:numId="53">
    <w:abstractNumId w:val="21603"/>
  </w:num>
  <w:num w:numId="54">
    <w:abstractNumId w:val="2160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ruijie.feishu.cn/wiki/ByPswlP7dic3Igkcq51c5wZCnSb" TargetMode="External" Type="http://schemas.openxmlformats.org/officeDocument/2006/relationships/hyperlink"/><Relationship Id="rId11" Target="https://ruijie.feishu.cn/wiki/ByPswlP7dic3Igkcq51c5wZCnSb" TargetMode="External" Type="http://schemas.openxmlformats.org/officeDocument/2006/relationships/hyperlink"/><Relationship Id="rId12" Target="https://ruijie.feishu.cn/docx/E0m5dFRhYoo5KfxSr5Jc3N4ynwe?from=from_copylink" TargetMode="External" Type="http://schemas.openxmlformats.org/officeDocument/2006/relationships/hyperlink"/><Relationship Id="rId13" Target="https://ruijie.feishu.cn/file/U4zdbcJ24orgS3xbgSecIFbwnVc" TargetMode="External" Type="http://schemas.openxmlformats.org/officeDocument/2006/relationships/hyperlink"/><Relationship Id="rId14" Target="https://ruijie.feishu.cn/file/Na6oba4gMoVXhfxzhmic2tkUnGc" TargetMode="External" Type="http://schemas.openxmlformats.org/officeDocument/2006/relationships/hyperlink"/><Relationship Id="rId15" Target="https://ruijie.feishu.cn/file/VyvlbOX6Fou7CYxeZElc4kEjn2e" TargetMode="External" Type="http://schemas.openxmlformats.org/officeDocument/2006/relationships/hyperlink"/><Relationship Id="rId16" Target="https://ruijie.feishu.cn/slides/K8rLs5eeRlyMmNd5mffcMQ0lnvd" TargetMode="External" Type="http://schemas.openxmlformats.org/officeDocument/2006/relationships/hyperlink"/><Relationship Id="rId17" Target="https://ruijie.feishu.cn/slides/KwjpsaboNlAwHbdFOTEcFNAEnYb" TargetMode="External" Type="http://schemas.openxmlformats.org/officeDocument/2006/relationships/hyperlink"/><Relationship Id="rId18" Target="https://ruijie.feishu.cn/slides/HJyJs57WelT4yhdkLJicgwWLnMc" TargetMode="External" Type="http://schemas.openxmlformats.org/officeDocument/2006/relationships/hyperlink"/><Relationship Id="rId19" Target="https://ruijie.feishu.cn/docx/DJFFdhhdFoAb7XxzaiRcWWsnnUc?from=from_copylink" TargetMode="External" Type="http://schemas.openxmlformats.org/officeDocument/2006/relationships/hyperlink"/><Relationship Id="rId2" Target="styles.xml" Type="http://schemas.openxmlformats.org/officeDocument/2006/relationships/styles"/><Relationship Id="rId20" Target="https://ruijie.feishu.cn/wiki/UOCvwRX1qiTQNKkRL72cnIGznIb" TargetMode="External" Type="http://schemas.openxmlformats.org/officeDocument/2006/relationships/hyperlink"/><Relationship Id="rId21" Target="https://ruijie.feishu.cn/wiki/UOCvwRX1qiTQNKkRL72cnIGznIb" TargetMode="External" Type="http://schemas.openxmlformats.org/officeDocument/2006/relationships/hyperlink"/><Relationship Id="rId22" Target="https://ruijie.feishu.cn/sheets/ShnQsZyVAhRmpxtryV9cYh3AnOr" TargetMode="External" Type="http://schemas.openxmlformats.org/officeDocument/2006/relationships/hyperlink"/><Relationship Id="rId23" Target="https://ruijie.feishu.cn/wiki/UOCvwRX1qiTQNKkRL72cnIGznIb" TargetMode="External" Type="http://schemas.openxmlformats.org/officeDocument/2006/relationships/hyperlink"/><Relationship Id="rId24" Target="https://ruijie.feishu.cn/sheets/ShnQsZyVAhRmpxtryV9cYh3AnOr" TargetMode="External" Type="http://schemas.openxmlformats.org/officeDocument/2006/relationships/hyperlink"/><Relationship Id="rId25" Target="https://ruijie.feishu.cn/sheets/ShnQsZyVAhRmpxtryV9cYh3AnOr" TargetMode="External" Type="http://schemas.openxmlformats.org/officeDocument/2006/relationships/hyperlink"/><Relationship Id="rId26" Target="https://ruijie.feishu.cn/wiki/T4KWwwp6Oi6JI6kZVAVczbZhnmb" TargetMode="External" Type="http://schemas.openxmlformats.org/officeDocument/2006/relationships/hyperlink"/><Relationship Id="rId27" Target="header1.xml" Type="http://schemas.openxmlformats.org/officeDocument/2006/relationships/header"/><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jpeg" Type="http://schemas.openxmlformats.org/officeDocument/2006/relationships/image"/><Relationship Id="rId7" Target="media/image3.jpeg" Type="http://schemas.openxmlformats.org/officeDocument/2006/relationships/image"/><Relationship Id="rId8" Target="media/image4.jpeg" Type="http://schemas.openxmlformats.org/officeDocument/2006/relationships/image"/><Relationship Id="rId9" Target="https://ruijie.feishu.cn/wiki/UOCvwRX1qiTQNKkRL72cnIGznIb" TargetMode="External" Type="http://schemas.openxmlformats.org/officeDocument/2006/relationships/hyperlink"/></Relationships>
</file>

<file path=word/_rels/header1.xml.rels><?xml version="1.0" encoding="UTF-8" standalone="yes"?><Relationships xmlns="http://schemas.openxmlformats.org/package/2006/relationships"><Relationship Id="rId1"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2025-05-13T08:59:46Z</dcterms:created>
  <dc:creator>Apache POI</dc:creator>
</cp:coreProperties>
</file>