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M2.4 评审与决策流程说明文件-V0.9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M2.4 评审与决策流程说明文件-V0.9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</w:t>
      </w:r>
      <w:bookmarkEnd w:id="0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 xml:space="preserve"> </w:t>
      </w:r>
      <w:bookmarkEnd w:id="1"/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M2.4 评审与决策流程</w:t>
      </w:r>
      <w:bookmarkEnd w:id="2"/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 xml:space="preserve"> 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455"/>
        <w:gridCol w:w="1455"/>
        <w:gridCol w:w="1350"/>
        <w:gridCol w:w="1350"/>
        <w:gridCol w:w="1215"/>
      </w:tblGrid>
      <w:tr>
        <w:tc>
          <w:tcPr>
            <w:tcW w:w="57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文件名称：M2.4 评审与决策流程说明文件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70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文件编号：MTCV-MI-M2.4-P-评审与决策文件-V0.9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生效日期：2025/3/10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PO：项小升</w:t>
            </w:r>
          </w:p>
        </w:tc>
        <w:tc>
          <w:tcPr>
            <w:tcW w:w="56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PO：谢海洋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1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流程组团队成员：邵德强、徐正龙、李丹</w:t>
            </w:r>
          </w:p>
        </w:tc>
        <w:tc>
          <w:tcPr>
            <w:tcW w:w="1350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  记 录</w:t>
            </w: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流程PO：谢海洋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流程PC：隋媛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项小升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2025-3-10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4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MI评审和决策流程是为支撑解题人/洞察小组和评审人</w:t>
      </w:r>
      <w:r>
        <w:rPr>
          <w:rFonts w:eastAsia="等线" w:ascii="Arial" w:cs="Arial" w:hAnsi="Arial"/>
          <w:b w:val="true"/>
          <w:color w:val="d83931"/>
          <w:sz w:val="22"/>
        </w:rPr>
        <w:t>高质量高效率</w:t>
      </w:r>
      <w:r>
        <w:rPr>
          <w:rFonts w:eastAsia="等线" w:ascii="Arial" w:cs="Arial" w:hAnsi="Arial"/>
          <w:sz w:val="22"/>
        </w:rPr>
        <w:t>完成评审，共识和明确机会点，并</w:t>
      </w:r>
      <w:r>
        <w:rPr>
          <w:rFonts w:eastAsia="等线" w:ascii="Arial" w:cs="Arial" w:hAnsi="Arial"/>
          <w:b w:val="true"/>
          <w:color w:val="d83931"/>
          <w:sz w:val="22"/>
        </w:rPr>
        <w:t>完成评审机会点分发</w:t>
      </w:r>
      <w:r>
        <w:rPr>
          <w:rFonts w:eastAsia="等线" w:ascii="Arial" w:cs="Arial" w:hAnsi="Arial"/>
          <w:sz w:val="22"/>
        </w:rPr>
        <w:t>。推进MI洞察进入下一个环节，实现MI洞察的端到端闭环。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本流程适用于 EBG 各部门的市场洞察评审活动，包括战略部、产品BU、解决方案部、系统部和区域平台部、国家等部门的市场洞察评审和决策。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90"/>
        <w:gridCol w:w="720"/>
        <w:gridCol w:w="6555"/>
      </w:tblGrid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英文全称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解释</w:t>
            </w:r>
          </w:p>
        </w:tc>
      </w:tr>
      <w:tr>
        <w:tc>
          <w:tcPr>
            <w:tcW w:w="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2760"/>
        <w:gridCol w:w="4470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解题人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战略规划经理、解决方案经理，系统部拓展，产品BU</w:t>
            </w:r>
            <w:r>
              <w:rPr>
                <w:rFonts w:eastAsia="等线" w:ascii="Arial" w:cs="Arial" w:hAnsi="Arial"/>
                <w:sz w:val="22"/>
              </w:rPr>
              <w:t>（规划经理，系统规划和解决方案SE/SA，产品开发SE/架构师等），</w:t>
            </w:r>
            <w:r>
              <w:rPr>
                <w:rFonts w:eastAsia="等线" w:ascii="Arial" w:cs="Arial" w:hAnsi="Arial"/>
                <w:b w:val="true"/>
                <w:sz w:val="22"/>
              </w:rPr>
              <w:t>区域平台</w:t>
            </w:r>
            <w:r>
              <w:rPr>
                <w:rFonts w:eastAsia="等线" w:ascii="Arial" w:cs="Arial" w:hAnsi="Arial"/>
                <w:sz w:val="22"/>
              </w:rPr>
              <w:t>（销售、售前、售后等）、国家区域经理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评估洞察报告是否</w:t>
            </w:r>
            <w:r>
              <w:rPr>
                <w:rFonts w:eastAsia="等线" w:ascii="Arial" w:cs="Arial" w:hAnsi="Arial"/>
                <w:b w:val="true"/>
                <w:sz w:val="22"/>
              </w:rPr>
              <w:t>解答了</w:t>
            </w:r>
            <w:r>
              <w:rPr>
                <w:rFonts w:eastAsia="等线" w:ascii="Arial" w:cs="Arial" w:hAnsi="Arial"/>
                <w:sz w:val="22"/>
              </w:rPr>
              <w:t>开题</w:t>
            </w:r>
            <w:r>
              <w:rPr>
                <w:rFonts w:eastAsia="等线" w:ascii="Arial" w:cs="Arial" w:hAnsi="Arial"/>
                <w:b w:val="true"/>
                <w:sz w:val="22"/>
              </w:rPr>
              <w:t>报告中的问题</w:t>
            </w:r>
            <w:r>
              <w:rPr>
                <w:rFonts w:eastAsia="等线" w:ascii="Arial" w:cs="Arial" w:hAnsi="Arial"/>
                <w:sz w:val="22"/>
              </w:rPr>
              <w:t>并提供足够的论据</w:t>
            </w:r>
            <w:r>
              <w:rPr>
                <w:rFonts w:eastAsia="等线" w:ascii="Arial" w:cs="Arial" w:hAnsi="Arial"/>
                <w:b w:val="true"/>
                <w:sz w:val="22"/>
              </w:rPr>
              <w:t>，提出机会点、待决策项</w:t>
            </w:r>
            <w:r>
              <w:rPr>
                <w:rFonts w:eastAsia="等线" w:ascii="Arial" w:cs="Arial" w:hAnsi="Arial"/>
                <w:sz w:val="22"/>
              </w:rPr>
              <w:t>。【注意：机会点</w:t>
            </w:r>
            <w:r>
              <w:rPr>
                <w:rFonts w:eastAsia="等线" w:ascii="Arial" w:cs="Arial" w:hAnsi="Arial"/>
                <w:b w:val="true"/>
                <w:sz w:val="22"/>
              </w:rPr>
              <w:t>接收干系方</w:t>
            </w:r>
            <w:r>
              <w:rPr>
                <w:rFonts w:eastAsia="等线" w:ascii="Arial" w:cs="Arial" w:hAnsi="Arial"/>
                <w:sz w:val="22"/>
              </w:rPr>
              <w:t>不在开题评审人员内，上会</w:t>
            </w:r>
            <w:r>
              <w:rPr>
                <w:rFonts w:eastAsia="等线" w:ascii="Arial" w:cs="Arial" w:hAnsi="Arial"/>
                <w:b w:val="true"/>
                <w:sz w:val="22"/>
              </w:rPr>
              <w:t>提前共识并邀约参与评审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邀约</w:t>
            </w:r>
            <w:r>
              <w:rPr>
                <w:rFonts w:eastAsia="等线" w:ascii="Arial" w:cs="Arial" w:hAnsi="Arial"/>
                <w:sz w:val="22"/>
              </w:rPr>
              <w:t>评委时间、</w:t>
            </w:r>
            <w:r>
              <w:rPr>
                <w:rFonts w:eastAsia="等线" w:ascii="Arial" w:cs="Arial" w:hAnsi="Arial"/>
                <w:b w:val="true"/>
                <w:sz w:val="22"/>
              </w:rPr>
              <w:t>发起</w:t>
            </w:r>
            <w:r>
              <w:rPr>
                <w:rFonts w:eastAsia="等线" w:ascii="Arial" w:cs="Arial" w:hAnsi="Arial"/>
                <w:sz w:val="22"/>
              </w:rPr>
              <w:t>评审、</w:t>
            </w:r>
            <w:r>
              <w:rPr>
                <w:rFonts w:eastAsia="等线" w:ascii="Arial" w:cs="Arial" w:hAnsi="Arial"/>
                <w:b w:val="true"/>
                <w:sz w:val="22"/>
              </w:rPr>
              <w:t>主持</w:t>
            </w:r>
            <w:r>
              <w:rPr>
                <w:rFonts w:eastAsia="等线" w:ascii="Arial" w:cs="Arial" w:hAnsi="Arial"/>
                <w:sz w:val="22"/>
              </w:rPr>
              <w:t>评审【注意：报告提交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1周</w:t>
            </w:r>
            <w:r>
              <w:rPr>
                <w:rFonts w:eastAsia="等线" w:ascii="Arial" w:cs="Arial" w:hAnsi="Arial"/>
                <w:b w:val="true"/>
                <w:sz w:val="22"/>
              </w:rPr>
              <w:t>内完成评审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记录评审纪要和</w:t>
            </w:r>
            <w:r>
              <w:rPr>
                <w:rFonts w:eastAsia="等线" w:ascii="Arial" w:cs="Arial" w:hAnsi="Arial"/>
                <w:b w:val="true"/>
                <w:sz w:val="22"/>
              </w:rPr>
              <w:t>机会点</w:t>
            </w:r>
            <w:r>
              <w:rPr>
                <w:rFonts w:eastAsia="等线" w:ascii="Arial" w:cs="Arial" w:hAnsi="Arial"/>
                <w:sz w:val="22"/>
              </w:rPr>
              <w:t>，推进</w:t>
            </w:r>
            <w:r>
              <w:rPr>
                <w:rFonts w:eastAsia="等线" w:ascii="Arial" w:cs="Arial" w:hAnsi="Arial"/>
                <w:b w:val="true"/>
                <w:sz w:val="22"/>
              </w:rPr>
              <w:t>机会点和业务方进行共识，跟进和推动接受人完成</w:t>
            </w:r>
            <w:r>
              <w:rPr>
                <w:rFonts w:eastAsia="等线" w:ascii="Arial" w:cs="Arial" w:hAnsi="Arial"/>
                <w:sz w:val="22"/>
              </w:rPr>
              <w:t>下一道工序开题；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MI机会点分发，并完成</w:t>
            </w:r>
            <w:r>
              <w:rPr>
                <w:rFonts w:eastAsia="等线" w:ascii="Arial" w:cs="Arial" w:hAnsi="Arial"/>
                <w:b w:val="true"/>
                <w:sz w:val="22"/>
              </w:rPr>
              <w:t>机会点和下一道工序的关联</w:t>
            </w:r>
            <w:r>
              <w:rPr>
                <w:rFonts w:eastAsia="等线" w:ascii="Arial" w:cs="Arial" w:hAnsi="Arial"/>
                <w:sz w:val="22"/>
              </w:rPr>
              <w:t>【即可结项】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洞察开题评审人/评审人【同一角色】，岗位涉及：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5星课题评审人：</w:t>
            </w:r>
            <w:r>
              <w:rPr>
                <w:rFonts w:eastAsia="等线" w:ascii="Arial" w:cs="Arial" w:hAnsi="Arial"/>
                <w:b w:val="true"/>
                <w:sz w:val="22"/>
              </w:rPr>
              <w:t>EBG执委会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4星课题评审人：</w:t>
            </w:r>
            <w:r>
              <w:rPr>
                <w:rFonts w:eastAsia="等线" w:ascii="Arial" w:cs="Arial" w:hAnsi="Arial"/>
                <w:b w:val="true"/>
                <w:sz w:val="22"/>
              </w:rPr>
              <w:t>各BU一级主管：</w:t>
            </w:r>
            <w:r>
              <w:rPr>
                <w:rFonts w:eastAsia="等线" w:ascii="Arial" w:cs="Arial" w:hAnsi="Arial"/>
                <w:sz w:val="22"/>
              </w:rPr>
              <w:t>包括产品BU总、系统部总、解决方案总经理（如授权代表参与，结论形同一级主管结论，不允许变更）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3星课题评审人：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多BU联合开题</w:t>
            </w:r>
            <w:r>
              <w:rPr>
                <w:rFonts w:eastAsia="等线" w:ascii="Arial" w:cs="Arial" w:hAnsi="Arial"/>
                <w:b w:val="true"/>
                <w:sz w:val="22"/>
              </w:rPr>
              <w:t>：各BU的二级主管，</w:t>
            </w:r>
            <w:r>
              <w:rPr>
                <w:rFonts w:eastAsia="等线" w:ascii="Arial" w:cs="Arial" w:hAnsi="Arial"/>
                <w:sz w:val="22"/>
              </w:rPr>
              <w:t>主要包括产品CPO、系统部营销总、解决方案行业经理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单一部门开题</w:t>
            </w:r>
            <w:r>
              <w:rPr>
                <w:rFonts w:eastAsia="等线" w:ascii="Arial" w:cs="Arial" w:hAnsi="Arial"/>
                <w:b w:val="true"/>
                <w:sz w:val="22"/>
              </w:rPr>
              <w:t>：各BU一级主管自己</w:t>
            </w:r>
            <w:r>
              <w:rPr>
                <w:rFonts w:eastAsia="等线" w:ascii="Arial" w:cs="Arial" w:hAnsi="Arial"/>
                <w:sz w:val="22"/>
              </w:rPr>
              <w:t>，包括产品BU总、系统部总、解决方案部总经理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2星课题评审人：</w:t>
            </w:r>
            <w:r>
              <w:rPr>
                <w:rFonts w:eastAsia="等线" w:ascii="Arial" w:cs="Arial" w:hAnsi="Arial"/>
                <w:b w:val="true"/>
                <w:sz w:val="22"/>
              </w:rPr>
              <w:t>开题人主管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区域级：</w:t>
            </w:r>
            <w:r>
              <w:rPr>
                <w:rFonts w:eastAsia="等线" w:ascii="Arial" w:cs="Arial" w:hAnsi="Arial"/>
                <w:b w:val="true"/>
                <w:sz w:val="22"/>
              </w:rPr>
              <w:t>区域主管、技术主管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国家：区域经理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评估洞察报告</w:t>
            </w:r>
            <w:r>
              <w:rPr>
                <w:rFonts w:eastAsia="等线" w:ascii="Arial" w:cs="Arial" w:hAnsi="Arial"/>
                <w:b w:val="true"/>
                <w:sz w:val="22"/>
              </w:rPr>
              <w:t>是否解答了开题报告中的问题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评估洞察报告中的</w:t>
            </w:r>
            <w:r>
              <w:rPr>
                <w:rFonts w:eastAsia="等线" w:ascii="Arial" w:cs="Arial" w:hAnsi="Arial"/>
                <w:b w:val="true"/>
                <w:sz w:val="22"/>
              </w:rPr>
              <w:t>数据是否详实、有针对性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评估洞察报告中的</w:t>
            </w:r>
            <w:r>
              <w:rPr>
                <w:rFonts w:eastAsia="等线" w:ascii="Arial" w:cs="Arial" w:hAnsi="Arial"/>
                <w:b w:val="true"/>
                <w:sz w:val="22"/>
              </w:rPr>
              <w:t>需要证伪的事项的逻辑是否清晰、闭环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评估洞察中发现的</w:t>
            </w:r>
            <w:r>
              <w:rPr>
                <w:rFonts w:eastAsia="等线" w:ascii="Arial" w:cs="Arial" w:hAnsi="Arial"/>
                <w:b w:val="true"/>
                <w:sz w:val="22"/>
              </w:rPr>
              <w:t>信息和形成的观点是否可以借鉴</w:t>
            </w:r>
            <w:r>
              <w:rPr>
                <w:rFonts w:eastAsia="等线" w:ascii="Arial" w:cs="Arial" w:hAnsi="Arial"/>
                <w:sz w:val="22"/>
              </w:rPr>
              <w:t>，识别会影响到</w:t>
            </w:r>
            <w:r>
              <w:rPr>
                <w:rFonts w:eastAsia="等线" w:ascii="Arial" w:cs="Arial" w:hAnsi="Arial"/>
                <w:b w:val="true"/>
                <w:sz w:val="22"/>
              </w:rPr>
              <w:t>哪些业务的决策和行动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对洞察报告给出</w:t>
            </w:r>
            <w:r>
              <w:rPr>
                <w:rFonts w:eastAsia="等线" w:ascii="Arial" w:cs="Arial" w:hAnsi="Arial"/>
                <w:b w:val="true"/>
                <w:sz w:val="22"/>
              </w:rPr>
              <w:t>明确的洞察结论</w:t>
            </w:r>
            <w:r>
              <w:rPr>
                <w:rFonts w:eastAsia="等线" w:ascii="Arial" w:cs="Arial" w:hAnsi="Arial"/>
                <w:sz w:val="22"/>
              </w:rPr>
              <w:t>，对于评审不通过的</w:t>
            </w:r>
            <w:r>
              <w:rPr>
                <w:rFonts w:eastAsia="等线" w:ascii="Arial" w:cs="Arial" w:hAnsi="Arial"/>
                <w:b w:val="true"/>
                <w:sz w:val="22"/>
              </w:rPr>
              <w:t>给出原因及改进建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议；对于评审通过的</w:t>
            </w:r>
            <w:r>
              <w:rPr>
                <w:rFonts w:eastAsia="等线" w:ascii="Arial" w:cs="Arial" w:hAnsi="Arial"/>
                <w:b w:val="true"/>
                <w:sz w:val="22"/>
              </w:rPr>
              <w:t>形成后续的行动计划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机会点业务接收人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洞察机会点业务接收方，岗位涉及：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产品线：</w:t>
            </w:r>
            <w:r>
              <w:rPr>
                <w:rFonts w:eastAsia="等线" w:ascii="Arial" w:cs="Arial" w:hAnsi="Arial"/>
                <w:b w:val="true"/>
                <w:sz w:val="22"/>
              </w:rPr>
              <w:t>BU总、CPO、产品规划负责人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系统部：</w:t>
            </w:r>
            <w:r>
              <w:rPr>
                <w:rFonts w:eastAsia="等线" w:ascii="Arial" w:cs="Arial" w:hAnsi="Arial"/>
                <w:b w:val="true"/>
                <w:sz w:val="22"/>
              </w:rPr>
              <w:t>系统部营销总</w:t>
            </w:r>
            <w:r>
              <w:rPr>
                <w:rFonts w:eastAsia="等线" w:ascii="Arial" w:cs="Arial" w:hAnsi="Arial"/>
                <w:sz w:val="22"/>
              </w:rPr>
              <w:t>【如授权代表参与，结论形同一级主管结论，不允许变更】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解决方案部：</w:t>
            </w:r>
            <w:r>
              <w:rPr>
                <w:rFonts w:eastAsia="等线" w:ascii="Arial" w:cs="Arial" w:hAnsi="Arial"/>
                <w:b w:val="true"/>
                <w:sz w:val="22"/>
              </w:rPr>
              <w:t>解决方案总经理</w:t>
            </w:r>
            <w:r>
              <w:rPr>
                <w:rFonts w:eastAsia="等线" w:ascii="Arial" w:cs="Arial" w:hAnsi="Arial"/>
                <w:sz w:val="22"/>
              </w:rPr>
              <w:t>【如授权代表参与，结论形同一级主管结论，不允许变更】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区域：</w:t>
            </w:r>
            <w:r>
              <w:rPr>
                <w:rFonts w:eastAsia="等线" w:ascii="Arial" w:cs="Arial" w:hAnsi="Arial"/>
                <w:b w:val="true"/>
                <w:sz w:val="22"/>
              </w:rPr>
              <w:t>区域主管、技术主管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国家：区域经理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决议</w:t>
            </w:r>
            <w:r>
              <w:rPr>
                <w:rFonts w:eastAsia="等线" w:ascii="Arial" w:cs="Arial" w:hAnsi="Arial"/>
                <w:b w:val="true"/>
                <w:sz w:val="22"/>
              </w:rPr>
              <w:t>机会点/行动项的接受和共识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机会点的</w:t>
            </w:r>
            <w:r>
              <w:rPr>
                <w:rFonts w:eastAsia="等线" w:ascii="Arial" w:cs="Arial" w:hAnsi="Arial"/>
                <w:b w:val="true"/>
                <w:sz w:val="22"/>
              </w:rPr>
              <w:t>下一步行动开题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DSTE战略洞察开题【在飞书</w:t>
            </w:r>
            <w:r>
              <w:rPr>
                <w:rFonts w:eastAsia="等线" w:ascii="Arial" w:cs="Arial" w:hAnsi="Arial"/>
                <w:b w:val="true"/>
                <w:sz w:val="22"/>
              </w:rPr>
              <w:t>DSTE&amp;MI洞察管理开题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MI市场洞察/技术洞察开题【在飞书</w:t>
            </w:r>
            <w:r>
              <w:rPr>
                <w:rFonts w:eastAsia="等线" w:ascii="Arial" w:cs="Arial" w:hAnsi="Arial"/>
                <w:b w:val="true"/>
                <w:sz w:val="22"/>
              </w:rPr>
              <w:t>DSTE&amp;MI洞察管理开题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OR需求开题【在飞书</w:t>
            </w:r>
            <w:r>
              <w:rPr>
                <w:rFonts w:eastAsia="等线" w:ascii="Arial" w:cs="Arial" w:hAnsi="Arial"/>
                <w:b w:val="true"/>
                <w:sz w:val="22"/>
              </w:rPr>
              <w:t>需求系统开题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SMD解决方案策略计划开题【暂无系统，</w:t>
            </w:r>
            <w:r>
              <w:rPr>
                <w:rFonts w:eastAsia="等线" w:ascii="Arial" w:cs="Arial" w:hAnsi="Arial"/>
                <w:b w:val="true"/>
                <w:sz w:val="22"/>
              </w:rPr>
              <w:t>线下开题邮件同步结题人，抄送主管，PC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MM专项系统【暂无系统，</w:t>
            </w:r>
            <w:r>
              <w:rPr>
                <w:rFonts w:eastAsia="等线" w:ascii="Arial" w:cs="Arial" w:hAnsi="Arial"/>
                <w:b w:val="true"/>
                <w:sz w:val="22"/>
              </w:rPr>
              <w:t>线下开题邮件同步结题人，抄送主管，PC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SP/BP业务设计【暂无系统，</w:t>
            </w:r>
            <w:r>
              <w:rPr>
                <w:rFonts w:eastAsia="等线" w:ascii="Arial" w:cs="Arial" w:hAnsi="Arial"/>
                <w:b w:val="true"/>
                <w:sz w:val="22"/>
              </w:rPr>
              <w:t>线下开题邮件同步结题人，抄送主管，PC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下一步行动反馈给解题人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机会点计划在系统开题的，反馈计划，开题题目，开题对应系统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机会点计划线下的开题的。反馈计划，同步给主管和PC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注：如是自上而下的开题，开题人也参与作为开题评审人（同时也是洞察报告结题评审人）</w:t>
      </w:r>
    </w:p>
    <w:p>
      <w:pPr>
        <w:spacing w:before="120" w:after="120" w:line="288" w:lineRule="auto"/>
        <w:ind w:left="0" w:firstLine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课题分类星级评价及评审人矩阵v1.1</w:t>
        </w:r>
      </w:hyperlink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流程文件说明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 xml:space="preserve">流程卡 </w:t>
      </w:r>
      <w:bookmarkEnd w:id="9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color w:val="245bdb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L2流程框架（键盘图）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b w:val="true"/>
          <w:sz w:val="22"/>
        </w:rPr>
        <w:t>1、L2流程键盘图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420"/>
        <w:jc w:val="left"/>
      </w:pPr>
    </w:p>
    <w:p>
      <w:pPr>
        <w:spacing w:before="120" w:after="120" w:line="288" w:lineRule="auto"/>
        <w:ind w:left="0" w:firstLine="42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L2流程示意图</w:t>
      </w:r>
      <w:bookmarkEnd w:id="12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L3示意图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color w:val="245bdb"/>
          <w:sz w:val="30"/>
        </w:rPr>
        <w:t xml:space="preserve">5.2.4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4"/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流程活动说明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color w:val="245bdb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流程活动说明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"/>
        <w:gridCol w:w="450"/>
        <w:gridCol w:w="1680"/>
        <w:gridCol w:w="1515"/>
        <w:gridCol w:w="375"/>
        <w:gridCol w:w="375"/>
        <w:gridCol w:w="375"/>
        <w:gridCol w:w="450"/>
        <w:gridCol w:w="780"/>
        <w:gridCol w:w="570"/>
        <w:gridCol w:w="450"/>
        <w:gridCol w:w="555"/>
        <w:gridCol w:w="495"/>
      </w:tblGrid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编号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活动/子流程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流程活动说明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执行角色/岗位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是否有KCP/KDP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输入标准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输出标准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（良品条件）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活动难点/关键点说明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业务变化点说明（与之前的主要变化点）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指导书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工作模板</w:t>
            </w: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001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市场洞察报告评审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市场洞察报告评审，给出明确的</w:t>
            </w:r>
            <w:r>
              <w:rPr>
                <w:rFonts w:eastAsia="等线" w:ascii="Arial" w:cs="Arial" w:hAnsi="Arial"/>
                <w:b w:val="true"/>
                <w:sz w:val="22"/>
              </w:rPr>
              <w:t>通过与否</w:t>
            </w:r>
            <w:r>
              <w:rPr>
                <w:rFonts w:eastAsia="等线" w:ascii="Arial" w:cs="Arial" w:hAnsi="Arial"/>
                <w:sz w:val="22"/>
              </w:rPr>
              <w:t>评审决策结论【结论选项】：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评审人给出评审结论：通过/不通过两种选择。【注意：多方评审人员</w:t>
            </w: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有一方反对即不通过</w:t>
            </w:r>
            <w:r>
              <w:rPr>
                <w:rFonts w:eastAsia="等线" w:ascii="Arial" w:cs="Arial" w:hAnsi="Arial"/>
                <w:sz w:val="22"/>
              </w:rPr>
              <w:t>，明确问题给出意见】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参考如下评审核心要素：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产研/系统部/解决方案部</w:t>
            </w:r>
            <w:r>
              <w:rPr>
                <w:rFonts w:eastAsia="等线" w:ascii="Arial" w:cs="Arial" w:hAnsi="Arial"/>
                <w:sz w:val="22"/>
              </w:rPr>
              <w:t>要素：①数据是否详细；②开题意图是否回答清晰，洞察广度和深度等逻辑是否严谨；③结论是否明确；④风险和机会点识别；⑤评审点和建议点【观点明确】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区域</w:t>
            </w:r>
            <w:r>
              <w:rPr>
                <w:rFonts w:eastAsia="等线" w:ascii="Arial" w:cs="Arial" w:hAnsi="Arial"/>
                <w:sz w:val="22"/>
              </w:rPr>
              <w:t>评审要素：①数据是否详实；②逻辑是否清晰；③结论是否明确；④机会识别和建议【按需】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执行角色：评审人会员，涉及岗位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5星课题评审人：</w:t>
            </w:r>
            <w:r>
              <w:rPr>
                <w:rFonts w:eastAsia="等线" w:ascii="Arial" w:cs="Arial" w:hAnsi="Arial"/>
                <w:b w:val="true"/>
                <w:sz w:val="22"/>
              </w:rPr>
              <w:t>EBG执委会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4星课题评审人：</w:t>
            </w:r>
            <w:r>
              <w:rPr>
                <w:rFonts w:eastAsia="等线" w:ascii="Arial" w:cs="Arial" w:hAnsi="Arial"/>
                <w:b w:val="true"/>
                <w:sz w:val="22"/>
              </w:rPr>
              <w:t>各BU一级主管：</w:t>
            </w:r>
            <w:r>
              <w:rPr>
                <w:rFonts w:eastAsia="等线" w:ascii="Arial" w:cs="Arial" w:hAnsi="Arial"/>
                <w:sz w:val="22"/>
              </w:rPr>
              <w:t>包括产品BU总、系统部总、解决方案总经理（如授权代表参与，结论形同一级主管结论，不允许变更）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3星课题评审人：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多BU联合开题</w:t>
            </w:r>
            <w:r>
              <w:rPr>
                <w:rFonts w:eastAsia="等线" w:ascii="Arial" w:cs="Arial" w:hAnsi="Arial"/>
                <w:b w:val="true"/>
                <w:sz w:val="22"/>
              </w:rPr>
              <w:t>：各BU的二级主管，</w:t>
            </w:r>
            <w:r>
              <w:rPr>
                <w:rFonts w:eastAsia="等线" w:ascii="Arial" w:cs="Arial" w:hAnsi="Arial"/>
                <w:sz w:val="22"/>
              </w:rPr>
              <w:t>主要包括产品CPO、系统部营销总、解决方案行业经理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单一部门开题</w:t>
            </w:r>
            <w:r>
              <w:rPr>
                <w:rFonts w:eastAsia="等线" w:ascii="Arial" w:cs="Arial" w:hAnsi="Arial"/>
                <w:b w:val="true"/>
                <w:sz w:val="22"/>
              </w:rPr>
              <w:t>：各BU一级主管自己</w:t>
            </w:r>
            <w:r>
              <w:rPr>
                <w:rFonts w:eastAsia="等线" w:ascii="Arial" w:cs="Arial" w:hAnsi="Arial"/>
                <w:sz w:val="22"/>
              </w:rPr>
              <w:t>，包括产品BU总、系统部总、解决方案部总经理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2星课题评审人：</w:t>
            </w:r>
            <w:r>
              <w:rPr>
                <w:rFonts w:eastAsia="等线" w:ascii="Arial" w:cs="Arial" w:hAnsi="Arial"/>
                <w:b w:val="true"/>
                <w:sz w:val="22"/>
              </w:rPr>
              <w:t>开题人主管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区域级：</w:t>
            </w:r>
            <w:r>
              <w:rPr>
                <w:rFonts w:eastAsia="等线" w:ascii="Arial" w:cs="Arial" w:hAnsi="Arial"/>
                <w:b w:val="true"/>
                <w:sz w:val="22"/>
              </w:rPr>
              <w:t>区域主管、技术主管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6看准出通过通过的《XXX洞察报告》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6看准出通过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</w:t>
            </w:r>
            <w:r>
              <w:rPr>
                <w:rFonts w:eastAsia="等线" w:ascii="Arial" w:cs="Arial" w:hAnsi="Arial"/>
                <w:b w:val="true"/>
                <w:sz w:val="22"/>
              </w:rPr>
              <w:t>结论、评分、评审意见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参考EBG 《EBG战略洞察结题评审标准V0.9》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新增区域评审要素</w:t>
            </w: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《EBG战略洞察结题评审标准V0.9》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EBG战略洞察结题评审标准v0.9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002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输出共识洞察机会点，明确机会点业务单元流向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基于各方意见进行研讨</w:t>
            </w:r>
            <w:r>
              <w:rPr>
                <w:rFonts w:eastAsia="等线" w:ascii="Arial" w:cs="Arial" w:hAnsi="Arial"/>
                <w:b w:val="true"/>
                <w:sz w:val="22"/>
              </w:rPr>
              <w:t>共识决议项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b w:val="true"/>
                <w:sz w:val="22"/>
              </w:rPr>
              <w:t>机会点</w:t>
            </w:r>
            <w:r>
              <w:rPr>
                <w:rFonts w:eastAsia="等线" w:ascii="Arial" w:cs="Arial" w:hAnsi="Arial"/>
                <w:sz w:val="22"/>
              </w:rPr>
              <w:t>，及</w:t>
            </w:r>
            <w:r>
              <w:rPr>
                <w:rFonts w:eastAsia="等线" w:ascii="Arial" w:cs="Arial" w:hAnsi="Arial"/>
                <w:b w:val="true"/>
                <w:sz w:val="22"/>
              </w:rPr>
              <w:t>机会点流向业务方向。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角色：研讨共识角色【解题人、评审人、业务接受方】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岗位见职责说明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评审结论和后续计划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包含评审结论、评分、评审意见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业务单元承接计划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①输出决策点</w:t>
              <w:br/>
              <w:t>②机会点分发</w:t>
              <w:br/>
            </w:r>
            <w:r>
              <w:rPr>
                <w:rFonts w:eastAsia="等线" w:ascii="Arial" w:cs="Arial" w:hAnsi="Arial"/>
                <w:sz w:val="22"/>
              </w:rPr>
              <w:t>②分发后承接方确认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003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机会点分发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机会点</w:t>
            </w:r>
            <w:r>
              <w:rPr>
                <w:rFonts w:eastAsia="等线" w:ascii="Arial" w:cs="Arial" w:hAnsi="Arial"/>
                <w:b w:val="true"/>
                <w:sz w:val="22"/>
              </w:rPr>
              <w:t>分发给业务接收人</w:t>
            </w:r>
            <w:r>
              <w:rPr>
                <w:rFonts w:eastAsia="等线" w:ascii="Arial" w:cs="Arial" w:hAnsi="Arial"/>
                <w:sz w:val="22"/>
              </w:rPr>
              <w:t>并且</w:t>
            </w:r>
            <w:r>
              <w:rPr>
                <w:rFonts w:eastAsia="等线" w:ascii="Arial" w:cs="Arial" w:hAnsi="Arial"/>
                <w:b w:val="true"/>
                <w:sz w:val="22"/>
              </w:rPr>
              <w:t>达成机会共识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分发角色：解题人，对应岗位：</w:t>
            </w:r>
            <w:r>
              <w:rPr>
                <w:rFonts w:eastAsia="等线" w:ascii="Arial" w:cs="Arial" w:hAnsi="Arial"/>
                <w:b w:val="true"/>
                <w:sz w:val="22"/>
              </w:rPr>
              <w:t>战略规划经理、解决方案经理，系统部拓展，产品BU</w:t>
            </w:r>
            <w:r>
              <w:rPr>
                <w:rFonts w:eastAsia="等线" w:ascii="Arial" w:cs="Arial" w:hAnsi="Arial"/>
                <w:sz w:val="22"/>
              </w:rPr>
              <w:t>（规划经理，系统规划和解决方案SE/SA，产品开发SE/架构师等），</w:t>
            </w:r>
            <w:r>
              <w:rPr>
                <w:rFonts w:eastAsia="等线" w:ascii="Arial" w:cs="Arial" w:hAnsi="Arial"/>
                <w:b w:val="true"/>
                <w:sz w:val="22"/>
              </w:rPr>
              <w:t>区域平台</w:t>
            </w:r>
            <w:r>
              <w:rPr>
                <w:rFonts w:eastAsia="等线" w:ascii="Arial" w:cs="Arial" w:hAnsi="Arial"/>
                <w:sz w:val="22"/>
              </w:rPr>
              <w:t>（销售、售前、售后等）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接收角色：机会点业务接受人，对应岗位：产品线</w:t>
            </w:r>
            <w:r>
              <w:rPr>
                <w:rFonts w:eastAsia="等线" w:ascii="Arial" w:cs="Arial" w:hAnsi="Arial"/>
                <w:b w:val="true"/>
                <w:sz w:val="22"/>
              </w:rPr>
              <w:t>BU总、CPO、产品规划负责人；系统部营销总、解决方案总经理</w:t>
            </w:r>
            <w:r>
              <w:rPr>
                <w:rFonts w:eastAsia="等线" w:ascii="Arial" w:cs="Arial" w:hAnsi="Arial"/>
                <w:sz w:val="22"/>
              </w:rPr>
              <w:t>【如授权代表参与，结论形同一级主管结论，不允许变更】；</w:t>
            </w:r>
            <w:r>
              <w:rPr>
                <w:rFonts w:eastAsia="等线" w:ascii="Arial" w:cs="Arial" w:hAnsi="Arial"/>
                <w:b w:val="true"/>
                <w:sz w:val="22"/>
              </w:rPr>
              <w:t>区域主管、技术主管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业务单元承接计划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机会点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共识的</w:t>
            </w:r>
            <w:r>
              <w:rPr>
                <w:rFonts w:eastAsia="等线" w:ascii="Arial" w:cs="Arial" w:hAnsi="Arial"/>
                <w:sz w:val="22"/>
              </w:rPr>
              <w:t>机会点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分发后承接方确认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004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确认并且机会需求点进行入池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机会点业务责任人完成计划开题，并反馈给解题人，机会点开题方式建议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DSTE战略洞察开题【在飞书</w:t>
            </w:r>
            <w:r>
              <w:rPr>
                <w:rFonts w:eastAsia="等线" w:ascii="Arial" w:cs="Arial" w:hAnsi="Arial"/>
                <w:b w:val="true"/>
                <w:sz w:val="22"/>
              </w:rPr>
              <w:t>DSTE&amp;MI洞察管理开题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MI市场洞察/技术洞察开题【在飞书</w:t>
            </w:r>
            <w:r>
              <w:rPr>
                <w:rFonts w:eastAsia="等线" w:ascii="Arial" w:cs="Arial" w:hAnsi="Arial"/>
                <w:b w:val="true"/>
                <w:sz w:val="22"/>
              </w:rPr>
              <w:t>DSTE&amp;MI洞察管理开题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OR需求开题【在飞书</w:t>
            </w:r>
            <w:r>
              <w:rPr>
                <w:rFonts w:eastAsia="等线" w:ascii="Arial" w:cs="Arial" w:hAnsi="Arial"/>
                <w:b w:val="true"/>
                <w:sz w:val="22"/>
              </w:rPr>
              <w:t>需求系统开题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SMD解决方案策略计划开题【暂无系统，</w:t>
            </w:r>
            <w:r>
              <w:rPr>
                <w:rFonts w:eastAsia="等线" w:ascii="Arial" w:cs="Arial" w:hAnsi="Arial"/>
                <w:b w:val="true"/>
                <w:sz w:val="22"/>
              </w:rPr>
              <w:t>线下开题邮件同步结题人，抄送主管，PC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MM专项系统【暂无系统，</w:t>
            </w:r>
            <w:r>
              <w:rPr>
                <w:rFonts w:eastAsia="等线" w:ascii="Arial" w:cs="Arial" w:hAnsi="Arial"/>
                <w:b w:val="true"/>
                <w:sz w:val="22"/>
              </w:rPr>
              <w:t>线下开题邮件同步结题人，抄送主管，PC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SP/BP业务设计【暂无系统，</w:t>
            </w:r>
            <w:r>
              <w:rPr>
                <w:rFonts w:eastAsia="等线" w:ascii="Arial" w:cs="Arial" w:hAnsi="Arial"/>
                <w:b w:val="true"/>
                <w:sz w:val="22"/>
              </w:rPr>
              <w:t>线下开题邮件同步结题人，抄送主管，PC</w:t>
            </w:r>
            <w:r>
              <w:rPr>
                <w:rFonts w:eastAsia="等线" w:ascii="Arial" w:cs="Arial" w:hAnsi="Arial"/>
                <w:sz w:val="22"/>
              </w:rPr>
              <w:t>】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解题人在MI洞察系统完成和下一道工序开题题目进行关联【SMD、MM、SP/BP部分计划，在洞察需提供明确计划和行动即可，线下定期跟踪统计】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分发角色：解题人，对应岗位：</w:t>
            </w:r>
            <w:r>
              <w:rPr>
                <w:rFonts w:eastAsia="等线" w:ascii="Arial" w:cs="Arial" w:hAnsi="Arial"/>
                <w:b w:val="true"/>
                <w:sz w:val="22"/>
              </w:rPr>
              <w:t>战略规划经理、解决方案经理，系统部拓展，产品BU</w:t>
            </w:r>
            <w:r>
              <w:rPr>
                <w:rFonts w:eastAsia="等线" w:ascii="Arial" w:cs="Arial" w:hAnsi="Arial"/>
                <w:sz w:val="22"/>
              </w:rPr>
              <w:t>（规划经理，系统规划和解决方案SE/SA，产品开发SE/架构师等），</w:t>
            </w:r>
            <w:r>
              <w:rPr>
                <w:rFonts w:eastAsia="等线" w:ascii="Arial" w:cs="Arial" w:hAnsi="Arial"/>
                <w:b w:val="true"/>
                <w:sz w:val="22"/>
              </w:rPr>
              <w:t>区域平台</w:t>
            </w:r>
            <w:r>
              <w:rPr>
                <w:rFonts w:eastAsia="等线" w:ascii="Arial" w:cs="Arial" w:hAnsi="Arial"/>
                <w:sz w:val="22"/>
              </w:rPr>
              <w:t>（销售、售前、售后等）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接收角色：机会点业务接受人，对应岗位：产品线</w:t>
            </w:r>
            <w:r>
              <w:rPr>
                <w:rFonts w:eastAsia="等线" w:ascii="Arial" w:cs="Arial" w:hAnsi="Arial"/>
                <w:b w:val="true"/>
                <w:sz w:val="22"/>
              </w:rPr>
              <w:t>BU总、CPO、产品规划负责人；系统部营销总、解决方案总经理</w:t>
            </w:r>
            <w:r>
              <w:rPr>
                <w:rFonts w:eastAsia="等线" w:ascii="Arial" w:cs="Arial" w:hAnsi="Arial"/>
                <w:sz w:val="22"/>
              </w:rPr>
              <w:t>【如授权代表参与，结论形同一级主管结论，不允许变更】；</w:t>
            </w:r>
            <w:r>
              <w:rPr>
                <w:rFonts w:eastAsia="等线" w:ascii="Arial" w:cs="Arial" w:hAnsi="Arial"/>
                <w:b w:val="true"/>
                <w:sz w:val="22"/>
              </w:rPr>
              <w:t>区域主管、技术主管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机会点</w:t>
            </w:r>
          </w:p>
        </w:tc>
        <w:tc>
          <w:tcPr>
            <w:tcW w:w="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共识的机会点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机会点和下一到工序的关联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下一道工序开题</w:t>
            </w:r>
            <w:r>
              <w:rPr>
                <w:rFonts w:eastAsia="等线" w:ascii="Arial" w:cs="Arial" w:hAnsi="Arial"/>
                <w:sz w:val="22"/>
              </w:rPr>
              <w:t>，明确目标、行动项、时间、责任人等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</w:t>
            </w:r>
          </w:p>
        </w:tc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《市场洞察机会分发流向跟踪表》：</w:t>
            </w:r>
          </w:p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市场洞察机会分发流向跟踪表</w:t>
              </w:r>
            </w:hyperlink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5.3.6 主要角色活动说明</w:t>
      </w:r>
      <w:bookmarkEnd w:id="1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5.3.6.1 解题人活动说明：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（解题人：对应岗位为规划经理、解决方案经理、区域技术经理）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KCP/KDP说明及指导书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915"/>
        <w:gridCol w:w="1950"/>
        <w:gridCol w:w="1425"/>
        <w:gridCol w:w="2280"/>
        <w:gridCol w:w="81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M2.4.1市场洞察报告评审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KDP1: 洞察评审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参考洞察解题标准评审形成明确结论，</w:t>
            </w:r>
            <w:r>
              <w:rPr>
                <w:rFonts w:eastAsia="等线" w:ascii="Arial" w:cs="Arial" w:hAnsi="Arial"/>
                <w:b w:val="true"/>
                <w:sz w:val="22"/>
              </w:rPr>
              <w:t>机会点、决策点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评审人</w:t>
            </w:r>
            <w:r>
              <w:rPr>
                <w:rFonts w:eastAsia="等线" w:ascii="Arial" w:cs="Arial" w:hAnsi="Arial"/>
                <w:sz w:val="22"/>
              </w:rPr>
              <w:t>：明确确认和研讨共识机会点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参考评审标准，输出评审结论，机会点 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EBG战略洞察结题评审标准v0.9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M2.4.2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战略规划和业务判断决策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KCP1：决策分发和确认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机会点分发确认，完成机会点和下一道工序的关联</w:t>
              <w:br/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解题人</w:t>
            </w:r>
            <w:r>
              <w:rPr>
                <w:rFonts w:eastAsia="等线" w:ascii="Arial" w:cs="Arial" w:hAnsi="Arial"/>
                <w:sz w:val="22"/>
              </w:rPr>
              <w:t>负责跟踪</w:t>
            </w:r>
          </w:p>
        </w:tc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决策点和机会点，需要业务承接方确认并给与反馈初步计划 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市场洞察机会分发流向跟踪表</w:t>
              </w:r>
            </w:hyperlink>
            <w:r>
              <w:rPr>
                <w:rFonts w:eastAsia="等线" w:ascii="Arial" w:cs="Arial" w:hAnsi="Arial"/>
                <w:sz w:val="22"/>
              </w:rPr>
              <w:t>【正在迁移到系统上】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2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本文档自发布之日起至V1.0版本发布前生效。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color w:val="245bdb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流程运转机制</w:t>
      </w:r>
      <w:r>
        <w:rPr>
          <w:rFonts w:eastAsia="等线" w:ascii="Arial" w:cs="Arial" w:hAnsi="Arial"/>
          <w:b w:val="true"/>
          <w:color w:val="d83931"/>
          <w:sz w:val="36"/>
        </w:rPr>
        <w:t>（立项执行及运转奖惩文件）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05"/>
        <w:gridCol w:w="6675"/>
      </w:tblGrid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流程运转机制</w:t>
            </w:r>
          </w:p>
        </w:tc>
      </w:tr>
      <w:tr>
        <w:tc>
          <w:tcPr>
            <w:tcW w:w="1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M2.4评审与决策</w:t>
            </w:r>
          </w:p>
        </w:tc>
        <w:tc>
          <w:tcPr>
            <w:tcW w:w="6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N/A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color w:val="245bdb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IT系统支持表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5"/>
        <w:gridCol w:w="3330"/>
        <w:gridCol w:w="720"/>
        <w:gridCol w:w="720"/>
        <w:gridCol w:w="720"/>
        <w:gridCol w:w="1065"/>
        <w:gridCol w:w="900"/>
      </w:tblGrid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流程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IT系统当前状态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是否影响V0.9跑起来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提出人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实现时间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M1.1战略洞察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洞察管理系统对后道做要求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EBG洞察管理系统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已上线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谢海洋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已上线</w:t>
            </w:r>
          </w:p>
        </w:tc>
      </w:tr>
      <w:tr>
        <w:tc>
          <w:tcPr>
            <w:tcW w:w="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M2.4评审和决策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增加评审结论、机会点分发，下一道工序开题关联机制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需求完成对齐，实现中</w:t>
            </w:r>
          </w:p>
        </w:tc>
        <w:tc>
          <w:tcPr>
            <w:tcW w:w="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不影响【暂时不影响】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谢海洋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bookmarkEnd w:id="23"/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1561">
    <w:lvl>
      <w:start w:val="1"/>
      <w:numFmt w:val="decimal"/>
      <w:suff w:val="tab"/>
      <w:lvlText w:val="%1."/>
      <w:rPr>
        <w:color w:val="3370ff"/>
      </w:rPr>
    </w:lvl>
  </w:abstractNum>
  <w:abstractNum w:abstractNumId="11562">
    <w:lvl>
      <w:start w:val="2"/>
      <w:numFmt w:val="decimal"/>
      <w:suff w:val="tab"/>
      <w:lvlText w:val="%1."/>
      <w:rPr>
        <w:color w:val="3370ff"/>
      </w:rPr>
    </w:lvl>
  </w:abstractNum>
  <w:abstractNum w:abstractNumId="11563">
    <w:lvl>
      <w:start w:val="3"/>
      <w:numFmt w:val="decimal"/>
      <w:suff w:val="tab"/>
      <w:lvlText w:val="%1."/>
      <w:rPr>
        <w:color w:val="3370ff"/>
      </w:rPr>
    </w:lvl>
  </w:abstractNum>
  <w:abstractNum w:abstractNumId="11564">
    <w:lvl>
      <w:start w:val="4"/>
      <w:numFmt w:val="decimal"/>
      <w:suff w:val="tab"/>
      <w:lvlText w:val="%1."/>
      <w:rPr>
        <w:color w:val="3370ff"/>
      </w:rPr>
    </w:lvl>
  </w:abstractNum>
  <w:abstractNum w:abstractNumId="11565">
    <w:lvl>
      <w:numFmt w:val="bullet"/>
      <w:suff w:val="tab"/>
      <w:lvlText w:val="￮"/>
      <w:rPr>
        <w:color w:val="3370ff"/>
      </w:rPr>
    </w:lvl>
  </w:abstractNum>
  <w:abstractNum w:abstractNumId="11566">
    <w:lvl>
      <w:numFmt w:val="bullet"/>
      <w:suff w:val="tab"/>
      <w:lvlText w:val="￮"/>
      <w:rPr>
        <w:color w:val="3370ff"/>
      </w:rPr>
    </w:lvl>
  </w:abstractNum>
  <w:abstractNum w:abstractNumId="11567">
    <w:lvl>
      <w:numFmt w:val="bullet"/>
      <w:suff w:val="tab"/>
      <w:lvlText w:val="￮"/>
      <w:rPr>
        <w:color w:val="3370ff"/>
      </w:rPr>
    </w:lvl>
  </w:abstractNum>
  <w:abstractNum w:abstractNumId="11568">
    <w:lvl>
      <w:numFmt w:val="bullet"/>
      <w:suff w:val="tab"/>
      <w:lvlText w:val="▪"/>
      <w:rPr>
        <w:color w:val="3370ff"/>
        <w:sz w:val="11"/>
      </w:rPr>
    </w:lvl>
  </w:abstractNum>
  <w:abstractNum w:abstractNumId="11569">
    <w:lvl>
      <w:numFmt w:val="bullet"/>
      <w:suff w:val="tab"/>
      <w:lvlText w:val="▪"/>
      <w:rPr>
        <w:color w:val="3370ff"/>
        <w:sz w:val="11"/>
      </w:rPr>
    </w:lvl>
  </w:abstractNum>
  <w:abstractNum w:abstractNumId="11570">
    <w:lvl>
      <w:numFmt w:val="bullet"/>
      <w:suff w:val="tab"/>
      <w:lvlText w:val="￮"/>
      <w:rPr>
        <w:color w:val="3370ff"/>
      </w:rPr>
    </w:lvl>
  </w:abstractNum>
  <w:abstractNum w:abstractNumId="11571">
    <w:lvl>
      <w:numFmt w:val="bullet"/>
      <w:suff w:val="tab"/>
      <w:lvlText w:val="￮"/>
      <w:rPr>
        <w:color w:val="3370ff"/>
      </w:rPr>
    </w:lvl>
  </w:abstractNum>
  <w:abstractNum w:abstractNumId="11572">
    <w:lvl>
      <w:numFmt w:val="bullet"/>
      <w:suff w:val="tab"/>
      <w:lvlText w:val="￮"/>
      <w:rPr>
        <w:color w:val="3370ff"/>
      </w:rPr>
    </w:lvl>
  </w:abstractNum>
  <w:abstractNum w:abstractNumId="11573">
    <w:lvl>
      <w:start w:val="1"/>
      <w:numFmt w:val="decimal"/>
      <w:suff w:val="tab"/>
      <w:lvlText w:val="%1."/>
      <w:rPr>
        <w:color w:val="3370ff"/>
      </w:rPr>
    </w:lvl>
  </w:abstractNum>
  <w:abstractNum w:abstractNumId="11574">
    <w:lvl>
      <w:start w:val="2"/>
      <w:numFmt w:val="decimal"/>
      <w:suff w:val="tab"/>
      <w:lvlText w:val="%1."/>
      <w:rPr>
        <w:color w:val="3370ff"/>
      </w:rPr>
    </w:lvl>
  </w:abstractNum>
  <w:abstractNum w:abstractNumId="11575">
    <w:lvl>
      <w:start w:val="3"/>
      <w:numFmt w:val="decimal"/>
      <w:suff w:val="tab"/>
      <w:lvlText w:val="%1."/>
      <w:rPr>
        <w:color w:val="3370ff"/>
      </w:rPr>
    </w:lvl>
  </w:abstractNum>
  <w:abstractNum w:abstractNumId="11576">
    <w:lvl>
      <w:start w:val="4"/>
      <w:numFmt w:val="decimal"/>
      <w:suff w:val="tab"/>
      <w:lvlText w:val="%1."/>
      <w:rPr>
        <w:color w:val="3370ff"/>
      </w:rPr>
    </w:lvl>
  </w:abstractNum>
  <w:abstractNum w:abstractNumId="11577">
    <w:lvl>
      <w:start w:val="5"/>
      <w:numFmt w:val="decimal"/>
      <w:suff w:val="tab"/>
      <w:lvlText w:val="%1."/>
      <w:rPr>
        <w:color w:val="3370ff"/>
      </w:rPr>
    </w:lvl>
  </w:abstractNum>
  <w:abstractNum w:abstractNumId="11578">
    <w:lvl>
      <w:numFmt w:val="bullet"/>
      <w:suff w:val="tab"/>
      <w:lvlText w:val="￮"/>
      <w:rPr>
        <w:color w:val="3370ff"/>
      </w:rPr>
    </w:lvl>
  </w:abstractNum>
  <w:abstractNum w:abstractNumId="11579">
    <w:lvl>
      <w:numFmt w:val="bullet"/>
      <w:suff w:val="tab"/>
      <w:lvlText w:val="￮"/>
      <w:rPr>
        <w:color w:val="3370ff"/>
      </w:rPr>
    </w:lvl>
  </w:abstractNum>
  <w:abstractNum w:abstractNumId="11580">
    <w:lvl>
      <w:numFmt w:val="bullet"/>
      <w:suff w:val="tab"/>
      <w:lvlText w:val="￮"/>
      <w:rPr>
        <w:color w:val="3370ff"/>
      </w:rPr>
    </w:lvl>
  </w:abstractNum>
  <w:abstractNum w:abstractNumId="11581">
    <w:lvl>
      <w:numFmt w:val="bullet"/>
      <w:suff w:val="tab"/>
      <w:lvlText w:val="￮"/>
      <w:rPr>
        <w:color w:val="3370ff"/>
      </w:rPr>
    </w:lvl>
  </w:abstractNum>
  <w:abstractNum w:abstractNumId="11582">
    <w:lvl>
      <w:numFmt w:val="bullet"/>
      <w:suff w:val="tab"/>
      <w:lvlText w:val="￮"/>
      <w:rPr>
        <w:color w:val="3370ff"/>
      </w:rPr>
    </w:lvl>
  </w:abstractNum>
  <w:abstractNum w:abstractNumId="11583">
    <w:lvl>
      <w:start w:val="1"/>
      <w:numFmt w:val="decimal"/>
      <w:suff w:val="tab"/>
      <w:lvlText w:val="%1."/>
      <w:rPr>
        <w:color w:val="3370ff"/>
      </w:rPr>
    </w:lvl>
  </w:abstractNum>
  <w:abstractNum w:abstractNumId="11584">
    <w:lvl>
      <w:start w:val="2"/>
      <w:numFmt w:val="decimal"/>
      <w:suff w:val="tab"/>
      <w:lvlText w:val="%1."/>
      <w:rPr>
        <w:color w:val="3370ff"/>
      </w:rPr>
    </w:lvl>
  </w:abstractNum>
  <w:abstractNum w:abstractNumId="11585">
    <w:lvl>
      <w:start w:val="1"/>
      <w:numFmt w:val="lowerLetter"/>
      <w:suff w:val="tab"/>
      <w:lvlText w:val="%1."/>
      <w:rPr>
        <w:color w:val="3370ff"/>
      </w:rPr>
    </w:lvl>
  </w:abstractNum>
  <w:abstractNum w:abstractNumId="11586">
    <w:lvl>
      <w:start w:val="2"/>
      <w:numFmt w:val="lowerLetter"/>
      <w:suff w:val="tab"/>
      <w:lvlText w:val="%1."/>
      <w:rPr>
        <w:color w:val="3370ff"/>
      </w:rPr>
    </w:lvl>
  </w:abstractNum>
  <w:abstractNum w:abstractNumId="11587">
    <w:lvl>
      <w:start w:val="3"/>
      <w:numFmt w:val="lowerLetter"/>
      <w:suff w:val="tab"/>
      <w:lvlText w:val="%1."/>
      <w:rPr>
        <w:color w:val="3370ff"/>
      </w:rPr>
    </w:lvl>
  </w:abstractNum>
  <w:abstractNum w:abstractNumId="11588">
    <w:lvl>
      <w:start w:val="4"/>
      <w:numFmt w:val="lowerLetter"/>
      <w:suff w:val="tab"/>
      <w:lvlText w:val="%1."/>
      <w:rPr>
        <w:color w:val="3370ff"/>
      </w:rPr>
    </w:lvl>
  </w:abstractNum>
  <w:abstractNum w:abstractNumId="11589">
    <w:lvl>
      <w:start w:val="5"/>
      <w:numFmt w:val="lowerLetter"/>
      <w:suff w:val="tab"/>
      <w:lvlText w:val="%1."/>
      <w:rPr>
        <w:color w:val="3370ff"/>
      </w:rPr>
    </w:lvl>
  </w:abstractNum>
  <w:abstractNum w:abstractNumId="11590">
    <w:lvl>
      <w:start w:val="6"/>
      <w:numFmt w:val="lowerLetter"/>
      <w:suff w:val="tab"/>
      <w:lvlText w:val="%1."/>
      <w:rPr>
        <w:color w:val="3370ff"/>
      </w:rPr>
    </w:lvl>
  </w:abstractNum>
  <w:abstractNum w:abstractNumId="11591">
    <w:lvl>
      <w:start w:val="3"/>
      <w:numFmt w:val="decimal"/>
      <w:suff w:val="tab"/>
      <w:lvlText w:val="%1."/>
      <w:rPr>
        <w:color w:val="3370ff"/>
      </w:rPr>
    </w:lvl>
  </w:abstractNum>
  <w:abstractNum w:abstractNumId="11592">
    <w:lvl>
      <w:start w:val="1"/>
      <w:numFmt w:val="lowerLetter"/>
      <w:suff w:val="tab"/>
      <w:lvlText w:val="%1."/>
      <w:rPr>
        <w:color w:val="3370ff"/>
      </w:rPr>
    </w:lvl>
  </w:abstractNum>
  <w:abstractNum w:abstractNumId="11593">
    <w:lvl>
      <w:start w:val="2"/>
      <w:numFmt w:val="lowerLetter"/>
      <w:suff w:val="tab"/>
      <w:lvlText w:val="%1."/>
      <w:rPr>
        <w:color w:val="3370ff"/>
      </w:rPr>
    </w:lvl>
  </w:abstractNum>
  <w:abstractNum w:abstractNumId="11594">
    <w:lvl>
      <w:numFmt w:val="bullet"/>
      <w:suff w:val="tab"/>
      <w:lvlText w:val="•"/>
      <w:rPr>
        <w:color w:val="3370ff"/>
      </w:rPr>
    </w:lvl>
  </w:abstractNum>
  <w:abstractNum w:abstractNumId="11595">
    <w:lvl>
      <w:numFmt w:val="bullet"/>
      <w:suff w:val="tab"/>
      <w:lvlText w:val="￮"/>
      <w:rPr>
        <w:color w:val="3370ff"/>
      </w:rPr>
    </w:lvl>
  </w:abstractNum>
  <w:abstractNum w:abstractNumId="11596">
    <w:lvl>
      <w:numFmt w:val="bullet"/>
      <w:suff w:val="tab"/>
      <w:lvlText w:val="￮"/>
      <w:rPr>
        <w:color w:val="3370ff"/>
      </w:rPr>
    </w:lvl>
  </w:abstractNum>
  <w:abstractNum w:abstractNumId="11597">
    <w:lvl>
      <w:numFmt w:val="bullet"/>
      <w:suff w:val="tab"/>
      <w:lvlText w:val="▪"/>
      <w:rPr>
        <w:color w:val="3370ff"/>
        <w:sz w:val="11"/>
      </w:rPr>
    </w:lvl>
  </w:abstractNum>
  <w:abstractNum w:abstractNumId="11598">
    <w:lvl>
      <w:numFmt w:val="bullet"/>
      <w:suff w:val="tab"/>
      <w:lvlText w:val="▪"/>
      <w:rPr>
        <w:color w:val="3370ff"/>
        <w:sz w:val="11"/>
      </w:rPr>
    </w:lvl>
  </w:abstractNum>
  <w:abstractNum w:abstractNumId="11599">
    <w:lvl>
      <w:numFmt w:val="bullet"/>
      <w:suff w:val="tab"/>
      <w:lvlText w:val="•"/>
      <w:rPr>
        <w:color w:val="3370ff"/>
      </w:rPr>
    </w:lvl>
  </w:abstractNum>
  <w:abstractNum w:abstractNumId="11600">
    <w:lvl>
      <w:numFmt w:val="bullet"/>
      <w:suff w:val="tab"/>
      <w:lvlText w:val="￮"/>
      <w:rPr>
        <w:color w:val="3370ff"/>
      </w:rPr>
    </w:lvl>
  </w:abstractNum>
  <w:abstractNum w:abstractNumId="11601">
    <w:lvl>
      <w:numFmt w:val="bullet"/>
      <w:suff w:val="tab"/>
      <w:lvlText w:val="￮"/>
      <w:rPr>
        <w:color w:val="3370ff"/>
      </w:rPr>
    </w:lvl>
  </w:abstractNum>
  <w:abstractNum w:abstractNumId="11602">
    <w:lvl>
      <w:numFmt w:val="bullet"/>
      <w:suff w:val="tab"/>
      <w:lvlText w:val="￮"/>
      <w:rPr>
        <w:color w:val="3370ff"/>
      </w:rPr>
    </w:lvl>
  </w:abstractNum>
  <w:abstractNum w:abstractNumId="11603">
    <w:lvl>
      <w:numFmt w:val="bullet"/>
      <w:suff w:val="tab"/>
      <w:lvlText w:val="▪"/>
      <w:rPr>
        <w:color w:val="3370ff"/>
        <w:sz w:val="11"/>
      </w:rPr>
    </w:lvl>
  </w:abstractNum>
  <w:abstractNum w:abstractNumId="11604">
    <w:lvl>
      <w:numFmt w:val="bullet"/>
      <w:suff w:val="tab"/>
      <w:lvlText w:val="▪"/>
      <w:rPr>
        <w:color w:val="3370ff"/>
        <w:sz w:val="11"/>
      </w:rPr>
    </w:lvl>
  </w:abstractNum>
  <w:abstractNum w:abstractNumId="11605">
    <w:lvl>
      <w:numFmt w:val="bullet"/>
      <w:suff w:val="tab"/>
      <w:lvlText w:val="￮"/>
      <w:rPr>
        <w:color w:val="3370ff"/>
      </w:rPr>
    </w:lvl>
  </w:abstractNum>
  <w:abstractNum w:abstractNumId="11606">
    <w:lvl>
      <w:numFmt w:val="bullet"/>
      <w:suff w:val="tab"/>
      <w:lvlText w:val="￮"/>
      <w:rPr>
        <w:color w:val="3370ff"/>
      </w:rPr>
    </w:lvl>
  </w:abstractNum>
  <w:abstractNum w:abstractNumId="11607">
    <w:lvl>
      <w:numFmt w:val="bullet"/>
      <w:suff w:val="tab"/>
      <w:lvlText w:val="•"/>
      <w:rPr>
        <w:color w:val="3370ff"/>
      </w:rPr>
    </w:lvl>
  </w:abstractNum>
  <w:abstractNum w:abstractNumId="11608">
    <w:lvl>
      <w:numFmt w:val="bullet"/>
      <w:suff w:val="tab"/>
      <w:lvlText w:val="•"/>
      <w:rPr>
        <w:color w:val="3370ff"/>
      </w:rPr>
    </w:lvl>
  </w:abstractNum>
  <w:abstractNum w:abstractNumId="11609">
    <w:lvl>
      <w:numFmt w:val="bullet"/>
      <w:suff w:val="tab"/>
      <w:lvlText w:val="•"/>
      <w:rPr>
        <w:color w:val="3370ff"/>
      </w:rPr>
    </w:lvl>
  </w:abstractNum>
  <w:abstractNum w:abstractNumId="11610">
    <w:lvl>
      <w:numFmt w:val="bullet"/>
      <w:suff w:val="tab"/>
      <w:lvlText w:val="•"/>
      <w:rPr>
        <w:color w:val="3370ff"/>
      </w:rPr>
    </w:lvl>
  </w:abstractNum>
  <w:abstractNum w:abstractNumId="11611">
    <w:lvl>
      <w:numFmt w:val="bullet"/>
      <w:suff w:val="tab"/>
      <w:lvlText w:val="•"/>
      <w:rPr>
        <w:color w:val="3370ff"/>
      </w:rPr>
    </w:lvl>
  </w:abstractNum>
  <w:abstractNum w:abstractNumId="11612">
    <w:lvl>
      <w:numFmt w:val="bullet"/>
      <w:suff w:val="tab"/>
      <w:lvlText w:val="•"/>
      <w:rPr>
        <w:color w:val="3370ff"/>
      </w:rPr>
    </w:lvl>
  </w:abstractNum>
  <w:abstractNum w:abstractNumId="11613">
    <w:lvl>
      <w:numFmt w:val="bullet"/>
      <w:suff w:val="tab"/>
      <w:lvlText w:val="•"/>
      <w:rPr>
        <w:color w:val="3370ff"/>
      </w:rPr>
    </w:lvl>
  </w:abstractNum>
  <w:abstractNum w:abstractNumId="11614">
    <w:lvl>
      <w:start w:val="1"/>
      <w:numFmt w:val="lowerLetter"/>
      <w:suff w:val="tab"/>
      <w:lvlText w:val="%1."/>
      <w:rPr>
        <w:color w:val="3370ff"/>
      </w:rPr>
    </w:lvl>
  </w:abstractNum>
  <w:abstractNum w:abstractNumId="11615">
    <w:lvl>
      <w:start w:val="2"/>
      <w:numFmt w:val="lowerLetter"/>
      <w:suff w:val="tab"/>
      <w:lvlText w:val="%1."/>
      <w:rPr>
        <w:color w:val="3370ff"/>
      </w:rPr>
    </w:lvl>
  </w:abstractNum>
  <w:abstractNum w:abstractNumId="11616">
    <w:lvl>
      <w:start w:val="3"/>
      <w:numFmt w:val="lowerLetter"/>
      <w:suff w:val="tab"/>
      <w:lvlText w:val="%1."/>
      <w:rPr>
        <w:color w:val="3370ff"/>
      </w:rPr>
    </w:lvl>
  </w:abstractNum>
  <w:abstractNum w:abstractNumId="11617">
    <w:lvl>
      <w:start w:val="4"/>
      <w:numFmt w:val="lowerLetter"/>
      <w:suff w:val="tab"/>
      <w:lvlText w:val="%1."/>
      <w:rPr>
        <w:color w:val="3370ff"/>
      </w:rPr>
    </w:lvl>
  </w:abstractNum>
  <w:abstractNum w:abstractNumId="11618">
    <w:lvl>
      <w:start w:val="5"/>
      <w:numFmt w:val="lowerLetter"/>
      <w:suff w:val="tab"/>
      <w:lvlText w:val="%1."/>
      <w:rPr>
        <w:color w:val="3370ff"/>
      </w:rPr>
    </w:lvl>
  </w:abstractNum>
  <w:abstractNum w:abstractNumId="11619">
    <w:lvl>
      <w:start w:val="6"/>
      <w:numFmt w:val="lowerLetter"/>
      <w:suff w:val="tab"/>
      <w:lvlText w:val="%1."/>
      <w:rPr>
        <w:color w:val="3370ff"/>
      </w:rPr>
    </w:lvl>
  </w:abstractNum>
  <w:abstractNum w:abstractNumId="11620">
    <w:lvl>
      <w:numFmt w:val="bullet"/>
      <w:suff w:val="tab"/>
      <w:lvlText w:val="•"/>
      <w:rPr>
        <w:color w:val="3370ff"/>
      </w:rPr>
    </w:lvl>
  </w:abstractNum>
  <w:abstractNum w:abstractNumId="11621">
    <w:lvl>
      <w:numFmt w:val="bullet"/>
      <w:suff w:val="tab"/>
      <w:lvlText w:val="•"/>
      <w:rPr>
        <w:color w:val="3370ff"/>
      </w:rPr>
    </w:lvl>
  </w:abstractNum>
  <w:abstractNum w:abstractNumId="11622">
    <w:lvl>
      <w:numFmt w:val="bullet"/>
      <w:suff w:val="tab"/>
      <w:lvlText w:val="•"/>
      <w:rPr>
        <w:color w:val="3370ff"/>
      </w:rPr>
    </w:lvl>
  </w:abstractNum>
  <w:abstractNum w:abstractNumId="11623">
    <w:lvl>
      <w:numFmt w:val="bullet"/>
      <w:suff w:val="tab"/>
      <w:lvlText w:val="•"/>
      <w:rPr>
        <w:color w:val="3370ff"/>
      </w:rPr>
    </w:lvl>
  </w:abstractNum>
  <w:abstractNum w:abstractNumId="11624">
    <w:lvl>
      <w:numFmt w:val="bullet"/>
      <w:suff w:val="tab"/>
      <w:lvlText w:val="•"/>
      <w:rPr>
        <w:color w:val="3370ff"/>
      </w:rPr>
    </w:lvl>
  </w:abstractNum>
  <w:num w:numId="1">
    <w:abstractNumId w:val="11561"/>
  </w:num>
  <w:num w:numId="2">
    <w:abstractNumId w:val="11562"/>
  </w:num>
  <w:num w:numId="3">
    <w:abstractNumId w:val="11563"/>
  </w:num>
  <w:num w:numId="4">
    <w:abstractNumId w:val="11564"/>
  </w:num>
  <w:num w:numId="5">
    <w:abstractNumId w:val="11565"/>
  </w:num>
  <w:num w:numId="6">
    <w:abstractNumId w:val="11566"/>
  </w:num>
  <w:num w:numId="7">
    <w:abstractNumId w:val="11567"/>
  </w:num>
  <w:num w:numId="8">
    <w:abstractNumId w:val="11568"/>
  </w:num>
  <w:num w:numId="9">
    <w:abstractNumId w:val="11569"/>
  </w:num>
  <w:num w:numId="10">
    <w:abstractNumId w:val="11570"/>
  </w:num>
  <w:num w:numId="11">
    <w:abstractNumId w:val="11571"/>
  </w:num>
  <w:num w:numId="12">
    <w:abstractNumId w:val="11572"/>
  </w:num>
  <w:num w:numId="13">
    <w:abstractNumId w:val="11573"/>
  </w:num>
  <w:num w:numId="14">
    <w:abstractNumId w:val="11574"/>
  </w:num>
  <w:num w:numId="15">
    <w:abstractNumId w:val="11575"/>
  </w:num>
  <w:num w:numId="16">
    <w:abstractNumId w:val="11576"/>
  </w:num>
  <w:num w:numId="17">
    <w:abstractNumId w:val="11577"/>
  </w:num>
  <w:num w:numId="18">
    <w:abstractNumId w:val="11578"/>
  </w:num>
  <w:num w:numId="19">
    <w:abstractNumId w:val="11579"/>
  </w:num>
  <w:num w:numId="20">
    <w:abstractNumId w:val="11580"/>
  </w:num>
  <w:num w:numId="21">
    <w:abstractNumId w:val="11581"/>
  </w:num>
  <w:num w:numId="22">
    <w:abstractNumId w:val="11582"/>
  </w:num>
  <w:num w:numId="23">
    <w:abstractNumId w:val="11583"/>
  </w:num>
  <w:num w:numId="24">
    <w:abstractNumId w:val="11584"/>
  </w:num>
  <w:num w:numId="25">
    <w:abstractNumId w:val="11585"/>
  </w:num>
  <w:num w:numId="26">
    <w:abstractNumId w:val="11586"/>
  </w:num>
  <w:num w:numId="27">
    <w:abstractNumId w:val="11587"/>
  </w:num>
  <w:num w:numId="28">
    <w:abstractNumId w:val="11588"/>
  </w:num>
  <w:num w:numId="29">
    <w:abstractNumId w:val="11589"/>
  </w:num>
  <w:num w:numId="30">
    <w:abstractNumId w:val="11590"/>
  </w:num>
  <w:num w:numId="31">
    <w:abstractNumId w:val="11591"/>
  </w:num>
  <w:num w:numId="32">
    <w:abstractNumId w:val="11592"/>
  </w:num>
  <w:num w:numId="33">
    <w:abstractNumId w:val="11593"/>
  </w:num>
  <w:num w:numId="34">
    <w:abstractNumId w:val="11594"/>
  </w:num>
  <w:num w:numId="35">
    <w:abstractNumId w:val="11595"/>
  </w:num>
  <w:num w:numId="36">
    <w:abstractNumId w:val="11596"/>
  </w:num>
  <w:num w:numId="37">
    <w:abstractNumId w:val="11597"/>
  </w:num>
  <w:num w:numId="38">
    <w:abstractNumId w:val="11598"/>
  </w:num>
  <w:num w:numId="39">
    <w:abstractNumId w:val="11599"/>
  </w:num>
  <w:num w:numId="40">
    <w:abstractNumId w:val="11600"/>
  </w:num>
  <w:num w:numId="41">
    <w:abstractNumId w:val="11601"/>
  </w:num>
  <w:num w:numId="42">
    <w:abstractNumId w:val="11602"/>
  </w:num>
  <w:num w:numId="43">
    <w:abstractNumId w:val="11603"/>
  </w:num>
  <w:num w:numId="44">
    <w:abstractNumId w:val="11604"/>
  </w:num>
  <w:num w:numId="45">
    <w:abstractNumId w:val="11605"/>
  </w:num>
  <w:num w:numId="46">
    <w:abstractNumId w:val="11606"/>
  </w:num>
  <w:num w:numId="47">
    <w:abstractNumId w:val="11607"/>
  </w:num>
  <w:num w:numId="48">
    <w:abstractNumId w:val="11608"/>
  </w:num>
  <w:num w:numId="49">
    <w:abstractNumId w:val="11609"/>
  </w:num>
  <w:num w:numId="50">
    <w:abstractNumId w:val="11610"/>
  </w:num>
  <w:num w:numId="51">
    <w:abstractNumId w:val="11611"/>
  </w:num>
  <w:num w:numId="52">
    <w:abstractNumId w:val="11612"/>
  </w:num>
  <w:num w:numId="53">
    <w:abstractNumId w:val="11613"/>
  </w:num>
  <w:num w:numId="54">
    <w:abstractNumId w:val="11614"/>
  </w:num>
  <w:num w:numId="55">
    <w:abstractNumId w:val="11615"/>
  </w:num>
  <w:num w:numId="56">
    <w:abstractNumId w:val="11616"/>
  </w:num>
  <w:num w:numId="57">
    <w:abstractNumId w:val="11617"/>
  </w:num>
  <w:num w:numId="58">
    <w:abstractNumId w:val="11618"/>
  </w:num>
  <w:num w:numId="59">
    <w:abstractNumId w:val="11619"/>
  </w:num>
  <w:num w:numId="60">
    <w:abstractNumId w:val="11620"/>
  </w:num>
  <w:num w:numId="61">
    <w:abstractNumId w:val="11621"/>
  </w:num>
  <w:num w:numId="62">
    <w:abstractNumId w:val="11622"/>
  </w:num>
  <w:num w:numId="63">
    <w:abstractNumId w:val="11623"/>
  </w:num>
  <w:num w:numId="64">
    <w:abstractNumId w:val="116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ruijie.feishu.cn/sheets/ShnQsZyVAhRmpxtryV9cYh3AnOr" TargetMode="External" Type="http://schemas.openxmlformats.org/officeDocument/2006/relationships/hyperlink"/><Relationship Id="rId11" Target="https://ruijie.feishu.cn/sheets/KIjLsbY9fhsl50t6cmkcSceAnwg?sheet=k4kBWe" TargetMode="External" Type="http://schemas.openxmlformats.org/officeDocument/2006/relationships/hyperlink"/><Relationship Id="rId12" Target="https://ruijie.feishu.cn/sheets/ShnQsZyVAhRmpxtryV9cYh3AnOr" TargetMode="External" Type="http://schemas.openxmlformats.org/officeDocument/2006/relationships/hyperlink"/><Relationship Id="rId13" Target="https://ruijie.feishu.cn/sheets/KIjLsbY9fhsl50t6cmkcSceAnwg?sheet=k4kBWe" TargetMode="External" Type="http://schemas.openxmlformats.org/officeDocument/2006/relationships/hyperlink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ruijie.feishu.cn/wiki/P9V8w09aXiWMbDkGyYqcJpjVnYe?from=from_copylink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2025-05-13T09:00:10Z</dcterms:created>
  <dc:creator>Apache POI</dc:creator>
</cp:coreProperties>
</file>