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MTCV-ML-M10.1 收集和生成线索流程说明文件-V0.9</w:t>
      </w:r>
    </w:p>
    <w:p>
      <w:pPr>
        <w:spacing w:before="120" w:after="120" w:line="288" w:lineRule="auto"/>
        <w:ind w:left="0" w:firstLine="0"/>
        <w:jc w:val="left"/>
      </w:pPr>
      <w:r>
        <w:rPr>
          <w:rFonts w:eastAsia="等线" w:ascii="Arial" w:cs="Arial" w:hAnsi="Arial"/>
          <w:b w:val="true"/>
          <w:sz w:val="22"/>
        </w:rPr>
        <w:t>MTCV-ML-M10.1 收集和生成线索流程说明文件-V0.9</w:t>
      </w:r>
    </w:p>
    <w:p>
      <w:pPr>
        <w:spacing w:before="120" w:after="120" w:line="288" w:lineRule="auto"/>
        <w:ind w:left="0" w:firstLine="0"/>
        <w:jc w:val="right"/>
      </w:pPr>
      <w:r>
        <w:rPr>
          <w:rFonts w:eastAsia="等线" w:ascii="Arial" w:cs="Arial" w:hAnsi="Arial"/>
          <w:sz w:val="22"/>
        </w:rPr>
        <w:t>密级：B</w:t>
      </w:r>
    </w:p>
    <w:p>
      <w:pPr>
        <w:spacing w:before="120" w:after="120" w:line="288" w:lineRule="auto"/>
        <w:ind w:left="0" w:firstLine="0"/>
        <w:jc w:val="left"/>
      </w:pPr>
    </w:p>
    <w:p>
      <w:pPr>
        <w:pStyle w:val="1"/>
        <w:spacing w:before="380" w:after="140" w:line="288" w:lineRule="auto"/>
        <w:ind w:left="0"/>
        <w:jc w:val="center"/>
        <w:outlineLvl w:val="0"/>
      </w:pPr>
      <w:bookmarkStart w:name="heading_0" w:id="0"/>
      <w:r>
        <w:rPr>
          <w:rFonts w:eastAsia="等线" w:ascii="Arial" w:cs="Arial" w:hAnsi="Arial"/>
          <w:b w:val="true"/>
          <w:sz w:val="36"/>
        </w:rPr>
        <w:t>M10.1 收集和生成线索流程</w:t>
      </w:r>
      <w:bookmarkEnd w:id="0"/>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455"/>
        <w:gridCol w:w="1260"/>
        <w:gridCol w:w="1365"/>
        <w:gridCol w:w="1365"/>
        <w:gridCol w:w="1365"/>
      </w:tblGrid>
      <w:tr>
        <w:tc>
          <w:tcPr>
            <w:tcW w:w="553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文件名称：收集和生成线索流程文件说明</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69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文件编号：MTCV-ML-M10.1-P-收集和生成线索流程-V0.9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c>
          <w:tcPr>
            <w:tcW w:w="2730"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生效日期：2025/3/17</w:t>
            </w:r>
          </w:p>
        </w:tc>
        <w:tc>
          <w:tcPr>
            <w:tcW w:w="136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PO：任礼抗</w:t>
            </w:r>
          </w:p>
        </w:tc>
        <w:tc>
          <w:tcPr>
            <w:tcW w:w="54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PO：傅领军</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409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流程组团队成员：李海燕，陈华彬，周三贵，杜浩，张选波，夏泽华，邵显涛，张蓬博</w:t>
            </w:r>
          </w:p>
        </w:tc>
        <w:tc>
          <w:tcPr>
            <w:tcW w:w="1365" w:type="dxa"/>
            <w:hMerge w:val="continue"/>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更改记录</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c>
          <w:tcPr>
            <w:tcW w:w="136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生效日期</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更改内容</w:t>
            </w: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V0.9</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流程PO：傅领军</w:t>
            </w:r>
          </w:p>
          <w:p>
            <w:pPr>
              <w:spacing w:before="120" w:after="120" w:line="288" w:lineRule="auto"/>
              <w:ind w:left="0"/>
              <w:jc w:val="left"/>
            </w:pPr>
            <w:r>
              <w:rPr>
                <w:rFonts w:eastAsia="等线" w:ascii="Arial" w:cs="Arial" w:hAnsi="Arial"/>
                <w:sz w:val="22"/>
              </w:rPr>
              <w:t>流程PC:  韩闯</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任礼抗</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2025-3-17</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首次发布</w:t>
            </w:r>
          </w:p>
        </w:tc>
      </w:tr>
    </w:tbl>
    <w:p>
      <w:pPr>
        <w:pStyle w:val="1"/>
        <w:spacing w:before="380" w:after="140" w:line="288" w:lineRule="auto"/>
        <w:ind w:left="0"/>
        <w:jc w:val="left"/>
        <w:outlineLvl w:val="0"/>
      </w:pPr>
      <w:bookmarkStart w:name="heading_1" w:id="1"/>
      <w:r>
        <w:rPr>
          <w:rFonts w:eastAsia="等线" w:ascii="Arial" w:cs="Arial" w:hAnsi="Arial"/>
          <w:b w:val="true"/>
          <w:color w:val="245bdb"/>
          <w:sz w:val="36"/>
        </w:rPr>
        <w:t xml:space="preserve">1. </w:t>
      </w:r>
      <w:r>
        <w:rPr>
          <w:rFonts w:eastAsia="等线" w:ascii="Arial" w:cs="Arial" w:hAnsi="Arial"/>
          <w:b w:val="true"/>
          <w:sz w:val="36"/>
        </w:rPr>
        <w:t xml:space="preserve">目的  </w:t>
      </w:r>
      <w:bookmarkEnd w:id="1"/>
    </w:p>
    <w:p>
      <w:pPr>
        <w:spacing w:before="120" w:after="120" w:line="288" w:lineRule="auto"/>
        <w:ind w:left="0" w:firstLine="420"/>
        <w:jc w:val="left"/>
      </w:pPr>
      <w:r>
        <w:rPr>
          <w:rFonts w:eastAsia="等线" w:ascii="Arial" w:cs="Arial" w:hAnsi="Arial"/>
          <w:sz w:val="22"/>
        </w:rPr>
        <w:t xml:space="preserve">        本流程适用于</w:t>
      </w:r>
      <w:r>
        <w:rPr>
          <w:rFonts w:eastAsia="等线" w:ascii="Arial" w:cs="Arial" w:hAnsi="Arial"/>
          <w:b w:val="true"/>
          <w:sz w:val="22"/>
        </w:rPr>
        <w:t>从多岗位主动生成收集初始线索信息</w:t>
      </w:r>
      <w:r>
        <w:rPr>
          <w:rFonts w:eastAsia="等线" w:ascii="Arial" w:cs="Arial" w:hAnsi="Arial"/>
          <w:sz w:val="22"/>
        </w:rPr>
        <w:t>，其核心旨在通过</w:t>
      </w:r>
      <w:r>
        <w:rPr>
          <w:rFonts w:eastAsia="等线" w:ascii="Arial" w:cs="Arial" w:hAnsi="Arial"/>
          <w:b w:val="true"/>
          <w:sz w:val="22"/>
        </w:rPr>
        <w:t>对线索分类最大限度打开线索入口</w:t>
      </w:r>
      <w:r>
        <w:rPr>
          <w:rFonts w:eastAsia="等线" w:ascii="Arial" w:cs="Arial" w:hAnsi="Arial"/>
          <w:sz w:val="22"/>
        </w:rPr>
        <w:t>，让所有机会在线索阶段就</w:t>
      </w:r>
      <w:r>
        <w:rPr>
          <w:rFonts w:eastAsia="等线" w:ascii="Arial" w:cs="Arial" w:hAnsi="Arial"/>
          <w:b w:val="true"/>
          <w:sz w:val="22"/>
        </w:rPr>
        <w:t>进入EBG销售管理范围，达成线索的应录尽录，应收尽收。</w:t>
      </w:r>
      <w:r>
        <w:rPr>
          <w:rFonts w:eastAsia="等线" w:ascii="Arial" w:cs="Arial" w:hAnsi="Arial"/>
          <w:sz w:val="22"/>
        </w:rPr>
        <w:t>通过对线索分类，将线索分为营销类和销售活动类线索，分类进行收集和生成，并制定考核和要求，促使全员积极进行线索的收集，以此解决信息分散、遗漏及洞察不足等问题。</w:t>
      </w:r>
    </w:p>
    <w:p>
      <w:pPr>
        <w:spacing w:before="120" w:after="120" w:line="288" w:lineRule="auto"/>
        <w:ind w:left="0" w:firstLine="420"/>
        <w:jc w:val="left"/>
      </w:pPr>
      <w:r>
        <w:rPr>
          <w:rFonts w:eastAsia="等线" w:ascii="Arial" w:cs="Arial" w:hAnsi="Arial"/>
          <w:sz w:val="22"/>
        </w:rPr>
        <w:t xml:space="preserve">        建设多岗位收集线索流程能够帮助企业更全面、更深入地了解市场和客户，从而提升企业的市场洞察力、运营效率和客户满意度，最终实现业务增长和长期竞争力的提升。因此，我们特此发布本流程，旨在清晰界定并规范线索录入销售易的各个环节，明确各节点的输入输出以及业务规则，从而有效指导业务活动的正常开展，确保每一步都精准无误。</w:t>
      </w:r>
    </w:p>
    <w:p>
      <w:pPr>
        <w:pStyle w:val="1"/>
        <w:spacing w:before="380" w:after="140" w:line="288" w:lineRule="auto"/>
        <w:ind w:left="0"/>
        <w:jc w:val="left"/>
        <w:outlineLvl w:val="0"/>
      </w:pPr>
      <w:bookmarkStart w:name="heading_2" w:id="2"/>
      <w:r>
        <w:rPr>
          <w:rFonts w:eastAsia="等线" w:ascii="Arial" w:cs="Arial" w:hAnsi="Arial"/>
          <w:b w:val="true"/>
          <w:color w:val="245bdb"/>
          <w:sz w:val="36"/>
        </w:rPr>
        <w:t xml:space="preserve">2. </w:t>
      </w:r>
      <w:r>
        <w:rPr>
          <w:rFonts w:eastAsia="等线" w:ascii="Arial" w:cs="Arial" w:hAnsi="Arial"/>
          <w:b w:val="true"/>
          <w:sz w:val="36"/>
        </w:rPr>
        <w:t>适用范围</w:t>
      </w:r>
      <w:bookmarkEnd w:id="2"/>
    </w:p>
    <w:p>
      <w:pPr>
        <w:spacing w:before="120" w:after="120" w:line="288" w:lineRule="auto"/>
        <w:ind w:left="0" w:firstLine="420"/>
        <w:jc w:val="left"/>
      </w:pPr>
      <w:r>
        <w:rPr>
          <w:rFonts w:eastAsia="等线" w:ascii="Arial" w:cs="Arial" w:hAnsi="Arial"/>
          <w:sz w:val="22"/>
        </w:rPr>
        <w:t>本流程适用于 EBG 所有线索管理的业务场景。</w:t>
      </w:r>
    </w:p>
    <w:p>
      <w:pPr>
        <w:pStyle w:val="1"/>
        <w:spacing w:before="380" w:after="140" w:line="288" w:lineRule="auto"/>
        <w:ind w:left="0"/>
        <w:jc w:val="left"/>
        <w:outlineLvl w:val="0"/>
      </w:pPr>
      <w:bookmarkStart w:name="heading_3" w:id="3"/>
      <w:r>
        <w:rPr>
          <w:rFonts w:eastAsia="等线" w:ascii="Arial" w:cs="Arial" w:hAnsi="Arial"/>
          <w:b w:val="true"/>
          <w:color w:val="245bdb"/>
          <w:sz w:val="36"/>
        </w:rPr>
        <w:t xml:space="preserve">3. </w:t>
      </w:r>
      <w:r>
        <w:rPr>
          <w:rFonts w:eastAsia="等线" w:ascii="Arial" w:cs="Arial" w:hAnsi="Arial"/>
          <w:b w:val="true"/>
          <w:sz w:val="36"/>
        </w:rPr>
        <w:t>名词解释</w:t>
      </w:r>
      <w:bookmarkEnd w:id="3"/>
    </w:p>
    <w:p>
      <w:pPr>
        <w:spacing w:before="120" w:after="120" w:line="288" w:lineRule="auto"/>
        <w:ind w:left="0" w:firstLine="420"/>
        <w:jc w:val="left"/>
      </w:pPr>
      <w:r>
        <w:rPr>
          <w:rFonts w:eastAsia="等线" w:ascii="Arial" w:cs="Arial" w:hAnsi="Arial"/>
          <w:sz w:val="22"/>
        </w:rPr>
        <w:t>线索定义</w:t>
      </w:r>
      <w:r>
        <w:rPr>
          <w:rFonts w:eastAsia="等线" w:ascii="Arial" w:cs="Arial" w:hAnsi="Arial"/>
          <w:b w:val="true"/>
          <w:sz w:val="22"/>
        </w:rPr>
        <w:t>：</w:t>
      </w:r>
      <w:r>
        <w:rPr>
          <w:rFonts w:eastAsia="等线" w:ascii="Arial" w:cs="Arial" w:hAnsi="Arial"/>
          <w:sz w:val="22"/>
        </w:rPr>
        <w:t>销售线索是指潜在客户对产品或服务表现出兴趣或需求的信息，通常包括客户的基本信息（姓名、联系方式、单位等）和兴趣点（对哪些产品或服务感兴趣）。</w:t>
      </w:r>
      <w:r>
        <w:rPr>
          <w:rFonts w:eastAsia="等线" w:ascii="Arial" w:cs="Arial" w:hAnsi="Arial"/>
          <w:b w:val="true"/>
          <w:sz w:val="22"/>
        </w:rPr>
        <w:t>即漏斗外的业务机会，包含预测类别为线索、机会+、机会-的业务机会。</w:t>
      </w:r>
    </w:p>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4. </w:t>
      </w:r>
      <w:r>
        <w:rPr>
          <w:rFonts w:eastAsia="等线" w:ascii="Arial" w:cs="Arial" w:hAnsi="Arial"/>
          <w:b w:val="true"/>
          <w:sz w:val="36"/>
        </w:rPr>
        <w:t>职责分工</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305"/>
        <w:gridCol w:w="6225"/>
      </w:tblGrid>
      <w:tr>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岗位描述</w:t>
            </w:r>
          </w:p>
        </w:tc>
        <w:tc>
          <w:tcPr>
            <w:tcW w:w="62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销售人员</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系统部大客户销售</w:t>
            </w:r>
          </w:p>
          <w:p>
            <w:pPr>
              <w:spacing w:before="120" w:after="120" w:line="288" w:lineRule="auto"/>
              <w:ind w:left="0"/>
              <w:jc w:val="left"/>
            </w:pPr>
            <w:r>
              <w:rPr>
                <w:rFonts w:eastAsia="等线" w:ascii="Arial" w:cs="Arial" w:hAnsi="Arial"/>
                <w:sz w:val="22"/>
              </w:rPr>
              <w:t>行业经理</w:t>
            </w:r>
          </w:p>
          <w:p>
            <w:pPr>
              <w:spacing w:before="120" w:after="120" w:line="288" w:lineRule="auto"/>
              <w:ind w:left="0"/>
              <w:jc w:val="left"/>
            </w:pPr>
            <w:r>
              <w:rPr>
                <w:rFonts w:eastAsia="等线" w:ascii="Arial" w:cs="Arial" w:hAnsi="Arial"/>
                <w:sz w:val="22"/>
              </w:rPr>
              <w:t>行业销售</w:t>
            </w:r>
          </w:p>
          <w:p>
            <w:pPr>
              <w:spacing w:before="120" w:after="120" w:line="288" w:lineRule="auto"/>
              <w:ind w:left="0"/>
              <w:jc w:val="left"/>
            </w:pPr>
            <w:r>
              <w:rPr>
                <w:rFonts w:eastAsia="等线" w:ascii="Arial" w:cs="Arial" w:hAnsi="Arial"/>
                <w:sz w:val="22"/>
              </w:rPr>
              <w:t>城市经理</w:t>
            </w:r>
          </w:p>
          <w:p>
            <w:pPr>
              <w:spacing w:before="120" w:after="120" w:line="288" w:lineRule="auto"/>
              <w:ind w:left="0"/>
              <w:jc w:val="left"/>
            </w:pPr>
            <w:r>
              <w:rPr>
                <w:rFonts w:eastAsia="等线" w:ascii="Arial" w:cs="Arial" w:hAnsi="Arial"/>
                <w:sz w:val="22"/>
              </w:rPr>
              <w:t>城市销售</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①负责通过客户覆盖、渠道覆盖、友商联系、市场活动、公开信息等销售活动中获取销售线索，并及时在CRM系统中录入生成业务机会。</w:t>
            </w:r>
          </w:p>
          <w:p>
            <w:pPr>
              <w:spacing w:before="120" w:after="120" w:line="288" w:lineRule="auto"/>
              <w:ind w:left="0"/>
              <w:jc w:val="left"/>
            </w:pPr>
            <w:r>
              <w:rPr>
                <w:rFonts w:eastAsia="等线" w:ascii="Arial" w:cs="Arial" w:hAnsi="Arial"/>
                <w:sz w:val="22"/>
              </w:rPr>
              <w:t>②负责接收售前通过新品新方案在客户端及渠道端的宣传推广、看网讲网给客户做正式的技术交流及客户端与渠道端主动咨询售前产品和解决方案、应用案例等售前活动中获取的销售线索，并及时在CRM系统中录入生成业务机会。</w:t>
            </w:r>
          </w:p>
          <w:p>
            <w:pPr>
              <w:spacing w:before="120" w:after="120" w:line="288" w:lineRule="auto"/>
              <w:ind w:left="0"/>
              <w:jc w:val="left"/>
            </w:pPr>
            <w:r>
              <w:rPr>
                <w:rFonts w:eastAsia="等线" w:ascii="Arial" w:cs="Arial" w:hAnsi="Arial"/>
                <w:sz w:val="22"/>
              </w:rPr>
              <w:t>③负责接收售后通过轻量化巡检、看网讲网、故障处理、项目交付等售后活动中挖掘出的隐性销售线索，并及时在CRM系统中录入生成业务机会。</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营销人员</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品牌营销部、数字营销等营销线索相关的全部人员</w:t>
            </w:r>
          </w:p>
          <w:p>
            <w:pPr>
              <w:spacing w:before="120" w:after="120" w:line="288" w:lineRule="auto"/>
              <w:ind w:left="0"/>
              <w:jc w:val="left"/>
            </w:pPr>
            <w:r>
              <w:rPr>
                <w:rFonts w:eastAsia="等线" w:ascii="Arial" w:cs="Arial" w:hAnsi="Arial"/>
                <w:sz w:val="22"/>
              </w:rPr>
              <w:t>系统部行业拓展经理</w:t>
            </w:r>
          </w:p>
        </w:tc>
        <w:tc>
          <w:tcPr>
            <w:tcW w:w="6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①营销部门通过市场活动、线上整合营销、官方通道、公开信息等，收集客户基础信息和需求即冷线索ML，收集形式包括但不限于：表单、问卷、留言、评论、单位名单等；系统部拓展经理负责搜集各个行业的公司年报，政府工作报告，RCC等有效途径收集与我司有关的线索信息，即冷线索ML。</w:t>
            </w:r>
          </w:p>
          <w:p>
            <w:pPr>
              <w:spacing w:before="120" w:after="120" w:line="288" w:lineRule="auto"/>
              <w:ind w:left="0"/>
              <w:jc w:val="left"/>
            </w:pPr>
            <w:r>
              <w:rPr>
                <w:rFonts w:eastAsia="等线" w:ascii="Arial" w:cs="Arial" w:hAnsi="Arial"/>
                <w:sz w:val="22"/>
              </w:rPr>
              <w:t>②将收集的ML核验筛选出符合MQL标准的线索，上传到CRM线索池，并按地盘划分分配，生成可归类到区域或系统部的MQL线索。</w:t>
            </w:r>
          </w:p>
        </w:tc>
      </w:tr>
    </w:tbl>
    <w:p>
      <w:pPr>
        <w:pStyle w:val="1"/>
        <w:spacing w:before="380" w:after="140" w:line="288" w:lineRule="auto"/>
        <w:ind w:left="0"/>
        <w:jc w:val="left"/>
        <w:outlineLvl w:val="0"/>
      </w:pPr>
      <w:bookmarkStart w:name="heading_5" w:id="5"/>
      <w:bookmarkEnd w:id="5"/>
    </w:p>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5. </w:t>
      </w:r>
      <w:r>
        <w:rPr>
          <w:rFonts w:eastAsia="等线" w:ascii="Arial" w:cs="Arial" w:hAnsi="Arial"/>
          <w:b w:val="true"/>
          <w:sz w:val="36"/>
        </w:rPr>
        <w:t>流程文件说明</w:t>
      </w:r>
      <w:bookmarkEnd w:id="6"/>
    </w:p>
    <w:p>
      <w:pPr>
        <w:pStyle w:val="2"/>
        <w:spacing w:before="320" w:after="120" w:line="288" w:lineRule="auto"/>
        <w:ind w:left="0"/>
        <w:jc w:val="left"/>
        <w:outlineLvl w:val="1"/>
      </w:pPr>
      <w:bookmarkStart w:name="heading_7" w:id="7"/>
      <w:r>
        <w:rPr>
          <w:rFonts w:eastAsia="等线" w:ascii="Arial" w:cs="Arial" w:hAnsi="Arial"/>
          <w:b w:val="true"/>
          <w:color w:val="245bdb"/>
          <w:sz w:val="32"/>
        </w:rPr>
        <w:t xml:space="preserve">5.1 </w:t>
      </w:r>
      <w:r>
        <w:rPr>
          <w:rFonts w:eastAsia="等线" w:ascii="Arial" w:cs="Arial" w:hAnsi="Arial"/>
          <w:b w:val="true"/>
          <w:sz w:val="32"/>
        </w:rPr>
        <w:t xml:space="preserve">流程卡 </w:t>
      </w:r>
      <w:bookmarkEnd w:id="7"/>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8" w:id="8"/>
      <w:r>
        <w:rPr>
          <w:rFonts w:eastAsia="等线" w:ascii="Arial" w:cs="Arial" w:hAnsi="Arial"/>
          <w:b w:val="true"/>
          <w:color w:val="245bdb"/>
          <w:sz w:val="32"/>
        </w:rPr>
        <w:t xml:space="preserve">5.2 </w:t>
      </w:r>
      <w:r>
        <w:rPr>
          <w:rFonts w:eastAsia="等线" w:ascii="Arial" w:cs="Arial" w:hAnsi="Arial"/>
          <w:b w:val="true"/>
          <w:sz w:val="32"/>
        </w:rPr>
        <w:t>流程图及说明</w:t>
      </w:r>
      <w:bookmarkEnd w:id="8"/>
    </w:p>
    <w:p>
      <w:pPr>
        <w:pStyle w:val="3"/>
        <w:spacing w:before="300" w:after="120" w:line="288" w:lineRule="auto"/>
        <w:ind w:left="0"/>
        <w:jc w:val="left"/>
        <w:outlineLvl w:val="2"/>
      </w:pPr>
      <w:bookmarkStart w:name="heading_9" w:id="9"/>
      <w:r>
        <w:rPr>
          <w:rFonts w:eastAsia="等线" w:ascii="Arial" w:cs="Arial" w:hAnsi="Arial"/>
          <w:b w:val="true"/>
          <w:color w:val="245bdb"/>
          <w:sz w:val="30"/>
        </w:rPr>
        <w:t xml:space="preserve">5.2.1 </w:t>
      </w:r>
      <w:r>
        <w:rPr>
          <w:rFonts w:eastAsia="等线" w:ascii="Arial" w:cs="Arial" w:hAnsi="Arial"/>
          <w:b w:val="true"/>
          <w:sz w:val="30"/>
        </w:rPr>
        <w:t xml:space="preserve">框架图（键盘图） </w:t>
      </w:r>
      <w:bookmarkEnd w:id="9"/>
    </w:p>
    <w:p>
      <w:pPr>
        <w:spacing w:before="120" w:after="120" w:line="288" w:lineRule="auto"/>
        <w:ind w:left="0"/>
        <w:jc w:val="center"/>
      </w:pPr>
      <w:r>
        <w:drawing>
          <wp:inline distT="0" distR="0" distB="0" distL="0">
            <wp:extent cx="5257800" cy="1752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75260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10" w:id="10"/>
      <w:r>
        <w:rPr>
          <w:rFonts w:eastAsia="等线" w:ascii="Arial" w:cs="Arial" w:hAnsi="Arial"/>
          <w:b w:val="true"/>
          <w:color w:val="245bdb"/>
          <w:sz w:val="30"/>
        </w:rPr>
        <w:t xml:space="preserve">5.2.2 </w:t>
      </w:r>
      <w:r>
        <w:rPr>
          <w:rFonts w:eastAsia="等线" w:ascii="Arial" w:cs="Arial" w:hAnsi="Arial"/>
          <w:b w:val="true"/>
          <w:sz w:val="30"/>
        </w:rPr>
        <w:t xml:space="preserve">L2 流程图 </w:t>
      </w:r>
      <w:bookmarkEnd w:id="10"/>
    </w:p>
    <w:p>
      <w:pPr>
        <w:spacing w:before="120" w:after="120" w:line="288" w:lineRule="auto"/>
        <w:ind w:left="0"/>
        <w:jc w:val="center"/>
      </w:pPr>
      <w:r>
        <w:drawing>
          <wp:inline distT="0" distR="0" distB="0" distL="0">
            <wp:extent cx="5257800" cy="1790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79070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5.2.3 </w:t>
      </w:r>
      <w:r>
        <w:rPr>
          <w:rFonts w:eastAsia="等线" w:ascii="Arial" w:cs="Arial" w:hAnsi="Arial"/>
          <w:b w:val="true"/>
          <w:sz w:val="30"/>
        </w:rPr>
        <w:t xml:space="preserve">L3  流程图  </w:t>
      </w:r>
      <w:bookmarkEnd w:id="11"/>
    </w:p>
    <w:p>
      <w:pPr>
        <w:spacing w:before="120" w:after="120" w:line="288" w:lineRule="auto"/>
        <w:ind w:left="0" w:firstLine="0"/>
        <w:jc w:val="left"/>
      </w:pPr>
      <w:r>
        <w:rPr>
          <w:rFonts w:eastAsia="等线" w:ascii="Arial" w:cs="Arial" w:hAnsi="Arial"/>
          <w:sz w:val="22"/>
        </w:rPr>
        <w:t>流程示意图:</w:t>
      </w:r>
    </w:p>
    <w:p>
      <w:pPr>
        <w:spacing w:before="120" w:after="120" w:line="288" w:lineRule="auto"/>
        <w:ind w:left="0"/>
        <w:jc w:val="center"/>
      </w:pPr>
      <w:r>
        <w:drawing>
          <wp:inline distT="0" distR="0" distB="0" distL="0">
            <wp:extent cx="5257800" cy="34956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34956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流程图:</w:t>
      </w:r>
    </w:p>
    <w:p>
      <w:pPr>
        <w:spacing w:before="120" w:after="120" w:line="288" w:lineRule="auto"/>
        <w:ind w:left="0"/>
        <w:jc w:val="center"/>
      </w:pPr>
      <w:r>
        <w:drawing>
          <wp:inline distT="0" distR="0" distB="0" distL="0">
            <wp:extent cx="5257800" cy="35242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352425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5.2.4 </w:t>
      </w:r>
      <w:r>
        <w:rPr>
          <w:rFonts w:eastAsia="等线" w:ascii="Arial" w:cs="Arial" w:hAnsi="Arial"/>
          <w:b w:val="true"/>
          <w:sz w:val="30"/>
        </w:rPr>
        <w:t>流程活动说明</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
        <w:gridCol w:w="480"/>
        <w:gridCol w:w="435"/>
        <w:gridCol w:w="1410"/>
        <w:gridCol w:w="315"/>
        <w:gridCol w:w="615"/>
        <w:gridCol w:w="1035"/>
        <w:gridCol w:w="435"/>
        <w:gridCol w:w="1080"/>
        <w:gridCol w:w="735"/>
        <w:gridCol w:w="480"/>
        <w:gridCol w:w="735"/>
        <w:gridCol w:w="315"/>
      </w:tblGrid>
      <w:tr>
        <w:tc>
          <w:tcPr>
            <w:tcW w:w="2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活动/子流程</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执行角色/岗位</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是否有KCP/KDP</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输入标准</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输出</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输出标准</w:t>
            </w:r>
          </w:p>
          <w:p>
            <w:pPr>
              <w:spacing w:before="120" w:after="120" w:line="288" w:lineRule="auto"/>
              <w:ind w:left="0"/>
              <w:jc w:val="center"/>
            </w:pPr>
            <w:r>
              <w:rPr>
                <w:rFonts w:eastAsia="等线" w:ascii="Arial" w:cs="Arial" w:hAnsi="Arial"/>
                <w:sz w:val="22"/>
              </w:rPr>
              <w:t>（良品条件）</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业务变化点说明</w:t>
            </w:r>
          </w:p>
          <w:p>
            <w:pPr>
              <w:spacing w:before="120" w:after="120" w:line="288" w:lineRule="auto"/>
              <w:ind w:left="0"/>
              <w:jc w:val="left"/>
            </w:pPr>
            <w:r>
              <w:rPr>
                <w:rFonts w:eastAsia="等线" w:ascii="Arial" w:cs="Arial" w:hAnsi="Arial"/>
                <w:sz w:val="22"/>
              </w:rPr>
              <w:t>（与之前的主要变化点）</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指导书</w:t>
            </w:r>
          </w:p>
        </w:tc>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工具模板</w:t>
            </w: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收集营销类线索</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营销人员</w:t>
            </w:r>
          </w:p>
          <w:p>
            <w:pPr>
              <w:spacing w:before="120" w:after="120" w:line="288" w:lineRule="auto"/>
              <w:ind w:left="0"/>
              <w:jc w:val="left"/>
            </w:pPr>
            <w:r>
              <w:rPr>
                <w:rFonts w:eastAsia="等线" w:ascii="Arial" w:cs="Arial" w:hAnsi="Arial"/>
                <w:sz w:val="22"/>
              </w:rPr>
              <w:t>（品牌营销部、数字营销等营销线索相关的全部人员、系统部行业拓展经理）</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1、通过各类营销活动策划，各个行业的公司年报、政府工作报告、RCC等有效途径收集有潜在生意机会的客户基础信息</w:t>
            </w:r>
          </w:p>
          <w:p>
            <w:pPr>
              <w:spacing w:before="120" w:after="120" w:line="288" w:lineRule="auto"/>
              <w:ind w:left="0"/>
              <w:jc w:val="left"/>
            </w:pPr>
            <w:r>
              <w:rPr>
                <w:rFonts w:eastAsia="等线" w:ascii="Arial" w:cs="Arial" w:hAnsi="Arial"/>
                <w:sz w:val="22"/>
              </w:rPr>
              <w:t>2、将收集来的潜在生意机会的客户基础信息汇总得到客户信息数据</w:t>
            </w:r>
          </w:p>
          <w:p>
            <w:pPr>
              <w:spacing w:before="120" w:after="120" w:line="288" w:lineRule="auto"/>
              <w:ind w:left="0"/>
              <w:jc w:val="left"/>
            </w:pPr>
            <w:r>
              <w:rPr>
                <w:rFonts w:eastAsia="等线" w:ascii="Arial" w:cs="Arial" w:hAnsi="Arial"/>
                <w:sz w:val="22"/>
              </w:rPr>
              <w:t>3、将客户信息数据进行①去重：通过单位名称+联系人手机号合并重复线索；②标准化：将不同渠道数据统一字段格式</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市场活动线索</w:t>
            </w:r>
          </w:p>
          <w:p>
            <w:pPr>
              <w:spacing w:before="120" w:after="120" w:line="288" w:lineRule="auto"/>
              <w:ind w:left="0"/>
              <w:jc w:val="left"/>
            </w:pPr>
            <w:r>
              <w:rPr>
                <w:rFonts w:eastAsia="等线" w:ascii="Arial" w:cs="Arial" w:hAnsi="Arial"/>
                <w:sz w:val="22"/>
              </w:rPr>
              <w:t>客户项目基础信息</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将营销人员通过线上及线下方式接触客户或渠道侧得到的客户信息及基础需求生成客户项目信息数据</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整理收集到的有潜在生意机会的客户项目基础信息</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1、客户基本信息准确（无明显错误信息）</w:t>
            </w:r>
          </w:p>
          <w:p>
            <w:pPr>
              <w:spacing w:before="120" w:after="120" w:line="288" w:lineRule="auto"/>
              <w:ind w:left="0"/>
              <w:jc w:val="left"/>
            </w:pPr>
            <w:r>
              <w:rPr>
                <w:rFonts w:eastAsia="等线" w:ascii="Arial" w:cs="Arial" w:hAnsi="Arial"/>
                <w:sz w:val="22"/>
              </w:rPr>
              <w:t>2、有销售沟通意愿、有潜在购买或项目需求</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vMerge w:val="restart"/>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rPr>
                <w:t>2025年营销线索全流程运营管理指导</w:t>
              </w:r>
            </w:hyperlink>
          </w:p>
        </w:tc>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录入和生成营销类线索</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营销人员</w:t>
            </w:r>
          </w:p>
          <w:p>
            <w:pPr>
              <w:spacing w:before="120" w:after="120" w:line="288" w:lineRule="auto"/>
              <w:ind w:left="0"/>
              <w:jc w:val="left"/>
            </w:pPr>
            <w:r>
              <w:rPr>
                <w:rFonts w:eastAsia="等线" w:ascii="Arial" w:cs="Arial" w:hAnsi="Arial"/>
                <w:sz w:val="22"/>
              </w:rPr>
              <w:t>（品牌营销部、数字营销等营销线索相关的全部人员、系统部行业拓展经理）</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1、收集完线索，并各核实负责人根据不同路径进行线索的核实，核实后生成可归类到区域或系统部的MQL线索</w:t>
            </w:r>
          </w:p>
          <w:p>
            <w:pPr>
              <w:spacing w:before="120" w:after="120" w:line="288" w:lineRule="auto"/>
              <w:ind w:left="0"/>
              <w:jc w:val="left"/>
            </w:pPr>
            <w:r>
              <w:rPr>
                <w:rFonts w:eastAsia="等线" w:ascii="Arial" w:cs="Arial" w:hAnsi="Arial"/>
                <w:sz w:val="22"/>
              </w:rPr>
              <w:t>2、根据客户基础信息及销售区域划分进行地域分配，同时向线索接受者发送线索卡片（含基本信息+需求摘要），同步生成CRM待办任务</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整理收集到的有潜在生意机会的客户基础信息</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1、客户项目基本信息准确（无明显错误信息）</w:t>
            </w:r>
          </w:p>
          <w:p>
            <w:pPr>
              <w:spacing w:before="120" w:after="120" w:line="288" w:lineRule="auto"/>
              <w:ind w:left="0"/>
              <w:jc w:val="left"/>
            </w:pPr>
            <w:r>
              <w:rPr>
                <w:rFonts w:eastAsia="等线" w:ascii="Arial" w:cs="Arial" w:hAnsi="Arial"/>
                <w:sz w:val="22"/>
              </w:rPr>
              <w:t>2、有销售沟通意愿、有潜在购买或项目需求</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可进行分发和验证的线索</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区域收到的线索信息必须包含：</w:t>
            </w:r>
          </w:p>
          <w:p>
            <w:pPr>
              <w:numPr>
                <w:numId w:val="1"/>
              </w:numPr>
              <w:spacing w:before="120" w:after="120" w:line="288" w:lineRule="auto"/>
              <w:ind w:left="0"/>
              <w:jc w:val="left"/>
            </w:pPr>
            <w:r>
              <w:rPr>
                <w:rFonts w:eastAsia="等线" w:ascii="Arial" w:cs="Arial" w:hAnsi="Arial"/>
                <w:i w:val="true"/>
                <w:sz w:val="22"/>
                <w:shd w:fill="fff67a"/>
              </w:rPr>
              <w:t>客户名称：</w:t>
            </w:r>
            <w:r>
              <w:rPr>
                <w:rFonts w:eastAsia="等线" w:ascii="Arial" w:cs="Arial" w:hAnsi="Arial"/>
                <w:sz w:val="22"/>
                <w:shd w:fill="fff67a"/>
              </w:rPr>
              <w:t>政府/医疗/教育需用官方注册名称（如“XX市教育局”），企业需与营业执照一致</w:t>
            </w:r>
          </w:p>
          <w:p>
            <w:pPr>
              <w:numPr>
                <w:numId w:val="2"/>
              </w:numPr>
              <w:spacing w:before="120" w:after="120" w:line="288" w:lineRule="auto"/>
              <w:ind w:left="0"/>
              <w:jc w:val="left"/>
            </w:pPr>
            <w:r>
              <w:rPr>
                <w:rFonts w:eastAsia="等线" w:ascii="Arial" w:cs="Arial" w:hAnsi="Arial"/>
                <w:sz w:val="22"/>
                <w:shd w:fill="fff67a"/>
              </w:rPr>
              <w:t>联系人：真实姓名</w:t>
            </w:r>
          </w:p>
          <w:p>
            <w:pPr>
              <w:numPr>
                <w:numId w:val="3"/>
              </w:numPr>
              <w:spacing w:before="120" w:after="120" w:line="288" w:lineRule="auto"/>
              <w:ind w:left="0"/>
              <w:jc w:val="left"/>
            </w:pPr>
            <w:r>
              <w:rPr>
                <w:rFonts w:eastAsia="等线" w:ascii="Arial" w:cs="Arial" w:hAnsi="Arial"/>
                <w:sz w:val="22"/>
                <w:shd w:fill="fff67a"/>
              </w:rPr>
              <w:t>联系方式（电话、邮箱等）：</w:t>
            </w:r>
          </w:p>
          <w:p>
            <w:pPr>
              <w:numPr>
                <w:numId w:val="4"/>
              </w:numPr>
              <w:spacing w:before="120" w:after="120" w:line="288" w:lineRule="auto"/>
              <w:ind w:left="0"/>
              <w:jc w:val="left"/>
            </w:pPr>
            <w:r>
              <w:rPr>
                <w:rFonts w:eastAsia="等线" w:ascii="Arial" w:cs="Arial" w:hAnsi="Arial"/>
                <w:sz w:val="22"/>
                <w:shd w:fill="fff67a"/>
              </w:rPr>
              <w:t>行业：线索所属行业</w:t>
            </w:r>
          </w:p>
          <w:p>
            <w:pPr>
              <w:numPr>
                <w:numId w:val="5"/>
              </w:numPr>
              <w:spacing w:before="120" w:after="120" w:line="288" w:lineRule="auto"/>
              <w:ind w:left="0"/>
              <w:jc w:val="left"/>
            </w:pPr>
            <w:r>
              <w:rPr>
                <w:rFonts w:eastAsia="等线" w:ascii="Arial" w:cs="Arial" w:hAnsi="Arial"/>
                <w:sz w:val="22"/>
                <w:shd w:fill="fff67a"/>
              </w:rPr>
              <w:t>锐捷地市：对应锐捷平台管理部的区域</w:t>
            </w:r>
          </w:p>
          <w:p>
            <w:pPr>
              <w:numPr>
                <w:numId w:val="6"/>
              </w:numPr>
              <w:spacing w:before="120" w:after="120" w:line="288" w:lineRule="auto"/>
              <w:ind w:left="0"/>
              <w:jc w:val="left"/>
            </w:pPr>
            <w:r>
              <w:rPr>
                <w:rFonts w:eastAsia="等线" w:ascii="Arial" w:cs="Arial" w:hAnsi="Arial"/>
                <w:sz w:val="22"/>
                <w:shd w:fill="fff67a"/>
              </w:rPr>
              <w:t>需求描述：客户需求的具体场景以及要解决的问题，如：不可只描述要交换机</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vMerge w:val="continue"/>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收集销售活动类线索</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销售人员</w:t>
            </w:r>
          </w:p>
          <w:p>
            <w:pPr>
              <w:spacing w:before="120" w:after="120" w:line="288" w:lineRule="auto"/>
              <w:ind w:left="0"/>
              <w:jc w:val="left"/>
            </w:pPr>
            <w:r>
              <w:rPr>
                <w:rFonts w:eastAsia="等线" w:ascii="Arial" w:cs="Arial" w:hAnsi="Arial"/>
                <w:sz w:val="22"/>
              </w:rPr>
              <w:t>（系统部大客户销售、行业经理、行业销售、城市经理、城市销售）</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销售通过客户覆盖、渠道覆盖、友商联系、市场活动、公开信息等销售活动中获取销售线索；接收售前通过新品新方案在客户端及渠道端的宣传推广、看网讲网给客户做正式的技术交流及客户端与渠道端主动咨询售前产品和解决方案、应用案例等售前活动中获取的销售线索需求卡；负责接收售后通过轻量化巡检、看网讲网、故障处理、项目交付等售后活动中挖掘出的隐性销售线索需求卡。</w:t>
            </w:r>
          </w:p>
          <w:p>
            <w:pPr>
              <w:spacing w:before="120" w:after="120" w:line="288" w:lineRule="auto"/>
              <w:ind w:left="0"/>
              <w:jc w:val="left"/>
            </w:pPr>
            <w:r>
              <w:rPr>
                <w:rFonts w:eastAsia="等线" w:ascii="Arial" w:cs="Arial" w:hAnsi="Arial"/>
                <w:sz w:val="22"/>
              </w:rPr>
              <w:t>2、整和售前售后及自己销售线索需求卡，线索需求卡进行①去重：通过企业名称+联系人手机号合并重复线索②确认完成性：确认可根据线索需求卡获取销售线索信息。</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销售活动线索</w:t>
            </w:r>
          </w:p>
          <w:p>
            <w:pPr>
              <w:spacing w:before="120" w:after="120" w:line="288" w:lineRule="auto"/>
              <w:ind w:left="0"/>
              <w:jc w:val="left"/>
            </w:pPr>
            <w:r>
              <w:rPr>
                <w:rFonts w:eastAsia="等线" w:ascii="Arial" w:cs="Arial" w:hAnsi="Arial"/>
                <w:sz w:val="22"/>
              </w:rPr>
              <w:t>客户基础信息</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线索必须包含：</w:t>
            </w:r>
          </w:p>
          <w:p>
            <w:pPr>
              <w:numPr>
                <w:numId w:val="7"/>
              </w:numPr>
              <w:spacing w:before="120" w:after="120" w:line="288" w:lineRule="auto"/>
              <w:ind w:left="0"/>
              <w:jc w:val="left"/>
            </w:pPr>
            <w:r>
              <w:rPr>
                <w:rFonts w:eastAsia="等线" w:ascii="Arial" w:cs="Arial" w:hAnsi="Arial"/>
                <w:sz w:val="22"/>
              </w:rPr>
              <w:t>客户名称：</w:t>
            </w:r>
          </w:p>
          <w:p>
            <w:pPr>
              <w:numPr>
                <w:numId w:val="8"/>
              </w:numPr>
              <w:spacing w:before="120" w:after="120" w:line="288" w:lineRule="auto"/>
              <w:ind w:left="0"/>
              <w:jc w:val="left"/>
            </w:pPr>
            <w:r>
              <w:rPr>
                <w:rFonts w:eastAsia="等线" w:ascii="Arial" w:cs="Arial" w:hAnsi="Arial"/>
                <w:sz w:val="22"/>
              </w:rPr>
              <w:t>沟通对象及职务：</w:t>
            </w:r>
            <w:r>
              <w:rPr>
                <w:rFonts w:eastAsia="等线" w:ascii="Arial" w:cs="Arial" w:hAnsi="Arial"/>
                <w:i w:val="true"/>
                <w:sz w:val="22"/>
              </w:rPr>
              <w:t xml:space="preserve">如技术/采购/高层  </w:t>
            </w:r>
          </w:p>
          <w:p>
            <w:pPr>
              <w:numPr>
                <w:numId w:val="9"/>
              </w:numPr>
              <w:spacing w:before="120" w:after="120" w:line="288" w:lineRule="auto"/>
              <w:ind w:left="0"/>
              <w:jc w:val="left"/>
            </w:pPr>
            <w:r>
              <w:rPr>
                <w:rFonts w:eastAsia="等线" w:ascii="Arial" w:cs="Arial" w:hAnsi="Arial"/>
                <w:sz w:val="22"/>
              </w:rPr>
              <w:t>沟通对象联系方式：</w:t>
            </w:r>
          </w:p>
          <w:p>
            <w:pPr>
              <w:numPr>
                <w:numId w:val="10"/>
              </w:numPr>
              <w:spacing w:before="120" w:after="120" w:line="288" w:lineRule="auto"/>
              <w:ind w:left="0"/>
              <w:jc w:val="left"/>
            </w:pPr>
            <w:r>
              <w:rPr>
                <w:rFonts w:eastAsia="等线" w:ascii="Arial" w:cs="Arial" w:hAnsi="Arial"/>
                <w:sz w:val="22"/>
              </w:rPr>
              <w:t>客户需求：</w:t>
            </w:r>
          </w:p>
          <w:p>
            <w:pPr>
              <w:numPr>
                <w:numId w:val="11"/>
              </w:numPr>
              <w:spacing w:before="120" w:after="120" w:line="288" w:lineRule="auto"/>
              <w:ind w:left="0"/>
              <w:jc w:val="left"/>
            </w:pPr>
            <w:r>
              <w:rPr>
                <w:rFonts w:eastAsia="等线" w:ascii="Arial" w:cs="Arial" w:hAnsi="Arial"/>
                <w:sz w:val="22"/>
              </w:rPr>
              <w:t>需求紧急度：</w:t>
            </w:r>
            <w:r>
              <w:rPr>
                <w:rFonts w:eastAsia="等线" w:ascii="Arial" w:cs="Arial" w:hAnsi="Arial"/>
                <w:i w:val="true"/>
                <w:sz w:val="22"/>
              </w:rPr>
              <w:t xml:space="preserve">如①紧急替换 ②年度规划 ③战略储备  </w:t>
            </w:r>
          </w:p>
          <w:p>
            <w:pPr>
              <w:numPr>
                <w:numId w:val="12"/>
              </w:numPr>
              <w:spacing w:before="120" w:after="120" w:line="288" w:lineRule="auto"/>
              <w:ind w:left="0"/>
              <w:jc w:val="left"/>
            </w:pPr>
            <w:r>
              <w:rPr>
                <w:rFonts w:eastAsia="等线" w:ascii="Arial" w:cs="Arial" w:hAnsi="Arial"/>
                <w:sz w:val="22"/>
              </w:rPr>
              <w:t>涉及的产品和解决方案：</w:t>
            </w:r>
          </w:p>
          <w:p>
            <w:pPr>
              <w:numPr>
                <w:numId w:val="13"/>
              </w:numPr>
              <w:spacing w:before="120" w:after="120" w:line="288" w:lineRule="auto"/>
              <w:ind w:left="0"/>
              <w:jc w:val="left"/>
            </w:pPr>
            <w:r>
              <w:rPr>
                <w:rFonts w:eastAsia="等线" w:ascii="Arial" w:cs="Arial" w:hAnsi="Arial"/>
                <w:sz w:val="22"/>
              </w:rPr>
              <w:t>客户预算区间：</w:t>
            </w:r>
          </w:p>
          <w:p>
            <w:pPr>
              <w:numPr>
                <w:numId w:val="14"/>
              </w:numPr>
              <w:spacing w:before="120" w:after="120" w:line="288" w:lineRule="auto"/>
              <w:ind w:left="0"/>
              <w:jc w:val="left"/>
            </w:pPr>
            <w:r>
              <w:rPr>
                <w:rFonts w:eastAsia="等线" w:ascii="Arial" w:cs="Arial" w:hAnsi="Arial"/>
                <w:sz w:val="22"/>
              </w:rPr>
              <w:t>其他已知信息：如项目建设时间、客户侧合作渠道信息、友商参与度</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原始销售线索卡</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1、有效性：已过滤虚假/重复数据</w:t>
            </w:r>
          </w:p>
          <w:p>
            <w:pPr>
              <w:spacing w:before="120" w:after="120" w:line="288" w:lineRule="auto"/>
              <w:ind w:left="0"/>
              <w:jc w:val="left"/>
            </w:pPr>
            <w:r>
              <w:rPr>
                <w:rFonts w:eastAsia="等线" w:ascii="Arial" w:cs="Arial" w:hAnsi="Arial"/>
                <w:sz w:val="22"/>
              </w:rPr>
              <w:t>2、完整性：CRM 字段完整性等于100%</w:t>
            </w:r>
          </w:p>
        </w:tc>
        <w:tc>
          <w:tcPr>
            <w:tcW w:w="73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sz w:val="22"/>
              </w:rPr>
              <w:t>无</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rPr>
                <w:t>《CRM系统操作标准（SOP）》</w:t>
              </w:r>
            </w:hyperlink>
          </w:p>
        </w:tc>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w:t>
            </w:r>
          </w:p>
        </w:tc>
      </w:tr>
      <w:tr>
        <w:tc>
          <w:tcPr>
            <w:tcW w:w="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录入和生成销售类线索</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销售人员</w:t>
            </w:r>
          </w:p>
          <w:p>
            <w:pPr>
              <w:spacing w:before="120" w:after="120" w:line="288" w:lineRule="auto"/>
              <w:ind w:left="0"/>
              <w:jc w:val="left"/>
            </w:pPr>
            <w:r>
              <w:rPr>
                <w:rFonts w:eastAsia="等线" w:ascii="Arial" w:cs="Arial" w:hAnsi="Arial"/>
                <w:sz w:val="22"/>
              </w:rPr>
              <w:t>（系统部大客户销售、行业经理、行业销售、城市经理、城市销售）</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1、区域销售根据原始销售线索卡在CRM系统中生成业务机会，填写线索所属客户名、业务机会名称、预测类别、预计开标日期、客户建设日期、预计下单日期、预计下单金额、产品类别等相关字段</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原始销售线索卡</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1、有效性：已过滤虚假/重复数据</w:t>
            </w:r>
          </w:p>
          <w:p>
            <w:pPr>
              <w:spacing w:before="120" w:after="120" w:line="288" w:lineRule="auto"/>
              <w:ind w:left="0"/>
              <w:jc w:val="left"/>
            </w:pPr>
            <w:r>
              <w:rPr>
                <w:rFonts w:eastAsia="等线" w:ascii="Arial" w:cs="Arial" w:hAnsi="Arial"/>
                <w:sz w:val="22"/>
              </w:rPr>
              <w:t>2、完整性：字段完整性等于100%</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可进行跟踪培育的线索</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MANT 其中一个清晰的线索</w:t>
            </w:r>
          </w:p>
        </w:tc>
        <w:tc>
          <w:tcPr>
            <w:tcW w:w="73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rPr>
                <w:rFonts w:eastAsia="等线" w:ascii="Arial" w:cs="Arial" w:hAnsi="Arial"/>
                <w:sz w:val="22"/>
              </w:rPr>
              <w:t>无</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新建</w:t>
            </w:r>
          </w:p>
        </w:tc>
        <w:tc>
          <w:tcPr>
            <w:tcW w:w="73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3" w:id="13"/>
      <w:r>
        <w:rPr>
          <w:rFonts w:eastAsia="等线" w:ascii="Arial" w:cs="Arial" w:hAnsi="Arial"/>
          <w:b w:val="true"/>
          <w:sz w:val="30"/>
        </w:rPr>
        <w:t>5.3.6 主要岗位/角色活动</w:t>
      </w:r>
      <w:bookmarkEnd w:id="13"/>
    </w:p>
    <w:p>
      <w:pPr>
        <w:pStyle w:val="4"/>
        <w:spacing w:before="260" w:after="120" w:line="288" w:lineRule="auto"/>
        <w:ind w:left="0"/>
        <w:jc w:val="left"/>
        <w:outlineLvl w:val="3"/>
      </w:pPr>
      <w:bookmarkStart w:name="heading_14" w:id="14"/>
      <w:r>
        <w:rPr>
          <w:rFonts w:eastAsia="等线" w:ascii="Arial" w:cs="Arial" w:hAnsi="Arial"/>
          <w:b w:val="true"/>
          <w:color w:val="245bdb"/>
          <w:sz w:val="28"/>
        </w:rPr>
        <w:t xml:space="preserve">5.2.4.1 </w:t>
      </w:r>
      <w:r>
        <w:rPr>
          <w:rFonts w:eastAsia="等线" w:ascii="Arial" w:cs="Arial" w:hAnsi="Arial"/>
          <w:b w:val="true"/>
          <w:sz w:val="28"/>
        </w:rPr>
        <w:t>营销人员活动说明</w:t>
      </w:r>
      <w:bookmarkEnd w:id="14"/>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5" w:id="15"/>
      <w:r>
        <w:rPr>
          <w:rFonts w:eastAsia="等线" w:ascii="Arial" w:cs="Arial" w:hAnsi="Arial"/>
          <w:b w:val="true"/>
          <w:color w:val="245bdb"/>
          <w:sz w:val="28"/>
        </w:rPr>
        <w:t xml:space="preserve">5.2.4.2 </w:t>
      </w:r>
      <w:r>
        <w:rPr>
          <w:rFonts w:eastAsia="等线" w:ascii="Arial" w:cs="Arial" w:hAnsi="Arial"/>
          <w:b w:val="true"/>
          <w:sz w:val="28"/>
        </w:rPr>
        <w:t>销售人员活动说明</w:t>
      </w:r>
      <w:bookmarkEnd w:id="15"/>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6" w:id="16"/>
      <w:r>
        <w:rPr>
          <w:rFonts w:eastAsia="等线" w:ascii="Arial" w:cs="Arial" w:hAnsi="Arial"/>
          <w:b w:val="true"/>
          <w:color w:val="245bdb"/>
          <w:sz w:val="32"/>
        </w:rPr>
        <w:t xml:space="preserve">5.3 </w:t>
      </w:r>
      <w:r>
        <w:rPr>
          <w:rFonts w:eastAsia="等线" w:ascii="Arial" w:cs="Arial" w:hAnsi="Arial"/>
          <w:b w:val="true"/>
          <w:sz w:val="32"/>
        </w:rPr>
        <w:t>KCP/KDP说明及指导书</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80"/>
        <w:gridCol w:w="1140"/>
        <w:gridCol w:w="1425"/>
        <w:gridCol w:w="1425"/>
        <w:gridCol w:w="2385"/>
        <w:gridCol w:w="840"/>
      </w:tblGrid>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23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收集和生成线索</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无</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无</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无</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无</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无</w:t>
            </w:r>
          </w:p>
        </w:tc>
      </w:tr>
    </w:tbl>
    <w:p>
      <w:pPr>
        <w:pStyle w:val="1"/>
        <w:spacing w:before="380" w:after="140" w:line="288" w:lineRule="auto"/>
        <w:ind w:left="0"/>
        <w:jc w:val="left"/>
        <w:outlineLvl w:val="0"/>
      </w:pPr>
      <w:bookmarkStart w:name="heading_17" w:id="17"/>
      <w:bookmarkEnd w:id="17"/>
    </w:p>
    <w:p>
      <w:pPr>
        <w:spacing w:before="120" w:after="120" w:line="288" w:lineRule="auto"/>
        <w:ind w:left="0" w:firstLine="0"/>
        <w:jc w:val="center"/>
      </w:pPr>
      <w:r>
        <w:rPr>
          <w:rFonts w:eastAsia="等线" w:ascii="Arial" w:cs="Arial" w:hAnsi="Arial"/>
          <w:b w:val="true"/>
          <w:sz w:val="22"/>
        </w:rPr>
        <w:t>点击图片可查看完整电子表格</w:t>
      </w:r>
    </w:p>
    <w:p>
      <w:pPr>
        <w:spacing w:before="120" w:after="120" w:line="288" w:lineRule="auto"/>
        <w:ind w:left="0" w:firstLine="0"/>
        <w:jc w:val="left"/>
      </w:pPr>
    </w:p>
    <w:p>
      <w:pPr>
        <w:pStyle w:val="1"/>
        <w:spacing w:before="380" w:after="140" w:line="288" w:lineRule="auto"/>
        <w:ind w:left="0"/>
        <w:jc w:val="left"/>
        <w:outlineLvl w:val="0"/>
      </w:pPr>
      <w:bookmarkStart w:name="heading_18" w:id="18"/>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18"/>
    </w:p>
    <w:p>
      <w:pPr>
        <w:spacing w:before="120" w:after="120" w:line="288" w:lineRule="auto"/>
        <w:ind w:left="0" w:firstLine="420"/>
        <w:jc w:val="left"/>
      </w:pPr>
      <w:r>
        <w:rPr>
          <w:rFonts w:eastAsia="等线" w:ascii="Arial" w:cs="Arial" w:hAnsi="Arial"/>
          <w:sz w:val="22"/>
        </w:rPr>
        <w:t>本文档的解释权归属流程管理部。</w:t>
      </w:r>
    </w:p>
    <w:p>
      <w:pPr>
        <w:spacing w:before="120" w:after="120" w:line="288" w:lineRule="auto"/>
        <w:ind w:left="0" w:firstLine="420"/>
        <w:jc w:val="left"/>
      </w:pPr>
      <w:r>
        <w:rPr>
          <w:rFonts w:eastAsia="等线" w:ascii="Arial" w:cs="Arial" w:hAnsi="Arial"/>
          <w:sz w:val="22"/>
        </w:rPr>
        <w:t>本文档自发布之日起生效。</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4969">
    <w:lvl>
      <w:numFmt w:val="bullet"/>
      <w:suff w:val="tab"/>
      <w:lvlText w:val="•"/>
      <w:rPr>
        <w:color w:val="3370ff"/>
      </w:rPr>
    </w:lvl>
  </w:abstractNum>
  <w:abstractNum w:abstractNumId="44970">
    <w:lvl>
      <w:numFmt w:val="bullet"/>
      <w:suff w:val="tab"/>
      <w:lvlText w:val="•"/>
      <w:rPr>
        <w:color w:val="3370ff"/>
      </w:rPr>
    </w:lvl>
  </w:abstractNum>
  <w:abstractNum w:abstractNumId="44971">
    <w:lvl>
      <w:numFmt w:val="bullet"/>
      <w:suff w:val="tab"/>
      <w:lvlText w:val="•"/>
      <w:rPr>
        <w:color w:val="3370ff"/>
      </w:rPr>
    </w:lvl>
  </w:abstractNum>
  <w:abstractNum w:abstractNumId="44972">
    <w:lvl>
      <w:numFmt w:val="bullet"/>
      <w:suff w:val="tab"/>
      <w:lvlText w:val="•"/>
      <w:rPr>
        <w:color w:val="3370ff"/>
      </w:rPr>
    </w:lvl>
  </w:abstractNum>
  <w:abstractNum w:abstractNumId="44973">
    <w:lvl>
      <w:numFmt w:val="bullet"/>
      <w:suff w:val="tab"/>
      <w:lvlText w:val="•"/>
      <w:rPr>
        <w:color w:val="3370ff"/>
      </w:rPr>
    </w:lvl>
  </w:abstractNum>
  <w:abstractNum w:abstractNumId="44974">
    <w:lvl>
      <w:numFmt w:val="bullet"/>
      <w:suff w:val="tab"/>
      <w:lvlText w:val="•"/>
      <w:rPr>
        <w:color w:val="3370ff"/>
      </w:rPr>
    </w:lvl>
  </w:abstractNum>
  <w:abstractNum w:abstractNumId="44975">
    <w:lvl>
      <w:numFmt w:val="bullet"/>
      <w:suff w:val="tab"/>
      <w:lvlText w:val="•"/>
      <w:rPr>
        <w:color w:val="3370ff"/>
      </w:rPr>
    </w:lvl>
  </w:abstractNum>
  <w:abstractNum w:abstractNumId="44976">
    <w:lvl>
      <w:numFmt w:val="bullet"/>
      <w:suff w:val="tab"/>
      <w:lvlText w:val="•"/>
      <w:rPr>
        <w:color w:val="3370ff"/>
      </w:rPr>
    </w:lvl>
  </w:abstractNum>
  <w:abstractNum w:abstractNumId="44977">
    <w:lvl>
      <w:numFmt w:val="bullet"/>
      <w:suff w:val="tab"/>
      <w:lvlText w:val="•"/>
      <w:rPr>
        <w:color w:val="3370ff"/>
      </w:rPr>
    </w:lvl>
  </w:abstractNum>
  <w:abstractNum w:abstractNumId="44978">
    <w:lvl>
      <w:numFmt w:val="bullet"/>
      <w:suff w:val="tab"/>
      <w:lvlText w:val="•"/>
      <w:rPr>
        <w:color w:val="3370ff"/>
      </w:rPr>
    </w:lvl>
  </w:abstractNum>
  <w:abstractNum w:abstractNumId="44979">
    <w:lvl>
      <w:numFmt w:val="bullet"/>
      <w:suff w:val="tab"/>
      <w:lvlText w:val="•"/>
      <w:rPr>
        <w:color w:val="3370ff"/>
      </w:rPr>
    </w:lvl>
  </w:abstractNum>
  <w:abstractNum w:abstractNumId="44980">
    <w:lvl>
      <w:numFmt w:val="bullet"/>
      <w:suff w:val="tab"/>
      <w:lvlText w:val="•"/>
      <w:rPr>
        <w:color w:val="3370ff"/>
      </w:rPr>
    </w:lvl>
  </w:abstractNum>
  <w:abstractNum w:abstractNumId="44981">
    <w:lvl>
      <w:numFmt w:val="bullet"/>
      <w:suff w:val="tab"/>
      <w:lvlText w:val="•"/>
      <w:rPr>
        <w:color w:val="3370ff"/>
      </w:rPr>
    </w:lvl>
  </w:abstractNum>
  <w:abstractNum w:abstractNumId="44982">
    <w:lvl>
      <w:numFmt w:val="bullet"/>
      <w:suff w:val="tab"/>
      <w:lvlText w:val="•"/>
      <w:rPr>
        <w:color w:val="3370ff"/>
      </w:rPr>
    </w:lvl>
  </w:abstractNum>
  <w:num w:numId="1">
    <w:abstractNumId w:val="44969"/>
  </w:num>
  <w:num w:numId="2">
    <w:abstractNumId w:val="44970"/>
  </w:num>
  <w:num w:numId="3">
    <w:abstractNumId w:val="44971"/>
  </w:num>
  <w:num w:numId="4">
    <w:abstractNumId w:val="44972"/>
  </w:num>
  <w:num w:numId="5">
    <w:abstractNumId w:val="44973"/>
  </w:num>
  <w:num w:numId="6">
    <w:abstractNumId w:val="44974"/>
  </w:num>
  <w:num w:numId="7">
    <w:abstractNumId w:val="44975"/>
  </w:num>
  <w:num w:numId="8">
    <w:abstractNumId w:val="44976"/>
  </w:num>
  <w:num w:numId="9">
    <w:abstractNumId w:val="44977"/>
  </w:num>
  <w:num w:numId="10">
    <w:abstractNumId w:val="44978"/>
  </w:num>
  <w:num w:numId="11">
    <w:abstractNumId w:val="44979"/>
  </w:num>
  <w:num w:numId="12">
    <w:abstractNumId w:val="44980"/>
  </w:num>
  <w:num w:numId="13">
    <w:abstractNumId w:val="44981"/>
  </w:num>
  <w:num w:numId="14">
    <w:abstractNumId w:val="4498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docx/JV5KdlO5TokhrNx02AzcdAiMnJd?from=from_copylink" TargetMode="External" Type="http://schemas.openxmlformats.org/officeDocument/2006/relationships/hyperlink"/><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https://ruijie.feishu.cn/docx/JEoudQ0mio9oO7xZ24jc36sonpb?from=from_copylink" TargetMode="External" Type="http://schemas.openxmlformats.org/officeDocument/2006/relationships/hyperlink"/><Relationship Id="rId9" Target="numbering.xml" Type="http://schemas.openxmlformats.org/officeDocument/2006/relationships/numbering"/></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2025-05-14T01:46:17Z</dcterms:created>
  <dc:creator>Apache POI</dc:creator>
</cp:coreProperties>
</file>