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MTCV-ML-M10.3 跟踪和培育线索流程-V0.9</w:t>
      </w:r>
    </w:p>
    <w:p>
      <w:pPr>
        <w:spacing w:before="120" w:after="120" w:line="288" w:lineRule="auto"/>
        <w:ind w:left="0" w:firstLine="0"/>
        <w:jc w:val="left"/>
      </w:pPr>
      <w:r>
        <w:rPr>
          <w:rFonts w:eastAsia="等线" w:ascii="Arial" w:cs="Arial" w:hAnsi="Arial"/>
          <w:b w:val="true"/>
          <w:sz w:val="22"/>
        </w:rPr>
        <w:t>MTCV-ML-M10.3 跟踪和培育线索流程-V0.9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M10.3  跟踪和培育线索流程</w:t>
      </w:r>
      <w:bookmarkEnd w:id="0"/>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455"/>
        <w:gridCol w:w="1335"/>
        <w:gridCol w:w="1170"/>
        <w:gridCol w:w="1320"/>
        <w:gridCol w:w="1380"/>
      </w:tblGrid>
      <w:tr>
        <w:tc>
          <w:tcPr>
            <w:tcW w:w="55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文件名称：跟踪和培育线索流程文件说明</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170" w:type="dxa"/>
            <w:h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69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文件编号：MTCV-ML-M10.3-P-跟踪和培育线索流程文件-v0.9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170" w:type="dxa"/>
            <w:hMerge w:val="continue"/>
            <w:tcMar>
              <w:top w:type="dxa" w:w="60"/>
              <w:left w:type="dxa" w:w="120"/>
              <w:bottom w:type="dxa" w:w="30"/>
              <w:right w:type="dxa" w:w="120"/>
            </w:tcMar>
          </w:tcPr>
          <w:p>
            <w:pPr>
              <w:spacing w:before="120" w:after="120" w:line="288" w:lineRule="auto"/>
              <w:ind w:left="0"/>
              <w:jc w:val="left"/>
            </w:pPr>
          </w:p>
        </w:tc>
        <w:tc>
          <w:tcPr>
            <w:tcW w:w="270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生效日期：2025/3/27</w:t>
            </w: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PO：任礼抗</w:t>
            </w:r>
          </w:p>
        </w:tc>
        <w:tc>
          <w:tcPr>
            <w:tcW w:w="5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PO：张卫超</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387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流程组团队成员：余熙、方旭、董昭杨</w:t>
            </w:r>
          </w:p>
        </w:tc>
        <w:tc>
          <w:tcPr>
            <w:tcW w:w="1320" w:type="dxa"/>
            <w:hMerge w:val="continue"/>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更改记录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170"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更改内容</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流程PO：张卫超</w:t>
            </w:r>
          </w:p>
          <w:p>
            <w:pPr>
              <w:spacing w:before="120" w:after="120" w:line="288" w:lineRule="auto"/>
              <w:ind w:left="0"/>
              <w:jc w:val="left"/>
            </w:pPr>
            <w:r>
              <w:rPr>
                <w:rFonts w:eastAsia="等线" w:ascii="Arial" w:cs="Arial" w:hAnsi="Arial"/>
                <w:sz w:val="22"/>
              </w:rPr>
              <w:t>流程PC:  韩闯</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任礼抗</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2025-3-27</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首次发布</w:t>
            </w:r>
          </w:p>
        </w:tc>
      </w:tr>
    </w:tbl>
    <w:p>
      <w:pPr>
        <w:pStyle w:val="1"/>
        <w:spacing w:before="380" w:after="140" w:line="288" w:lineRule="auto"/>
        <w:ind w:left="0"/>
        <w:jc w:val="left"/>
        <w:outlineLvl w:val="0"/>
      </w:pPr>
      <w:bookmarkStart w:name="heading_1" w:id="1"/>
      <w:r>
        <w:rPr>
          <w:rFonts w:eastAsia="等线" w:ascii="Arial" w:cs="Arial" w:hAnsi="Arial"/>
          <w:b w:val="true"/>
          <w:color w:val="245bdb"/>
          <w:sz w:val="36"/>
        </w:rPr>
        <w:t xml:space="preserve">1. </w:t>
      </w:r>
      <w:r>
        <w:rPr>
          <w:rFonts w:eastAsia="等线" w:ascii="Arial" w:cs="Arial" w:hAnsi="Arial"/>
          <w:b w:val="true"/>
          <w:sz w:val="36"/>
        </w:rPr>
        <w:t>目的</w:t>
      </w:r>
      <w:bookmarkEnd w:id="1"/>
    </w:p>
    <w:p>
      <w:pPr>
        <w:spacing w:before="120" w:after="120" w:line="288" w:lineRule="auto"/>
        <w:ind w:left="0" w:firstLine="420"/>
        <w:jc w:val="left"/>
      </w:pPr>
      <w:r>
        <w:rPr>
          <w:rFonts w:eastAsia="等线" w:ascii="Arial" w:cs="Arial" w:hAnsi="Arial"/>
          <w:sz w:val="22"/>
        </w:rPr>
        <w:t xml:space="preserve">       本流程旨在建立一套线索跟踪和培育的完整流程体系，界定线索跟踪和培育各阶段及过程，规范线索跟进的销售、售前人员标准化动作，指导在线索早期阶段深入介入客户，实现产品方案的价值认可工作，紧密有序的跟踪客户按照我司优势方案立项、预算批复，直至最终转换为漏斗内项目。</w:t>
      </w:r>
    </w:p>
    <w:p>
      <w:pPr>
        <w:spacing w:before="120" w:after="120" w:line="288" w:lineRule="auto"/>
        <w:ind w:left="0" w:firstLine="420"/>
        <w:jc w:val="left"/>
      </w:pPr>
      <w:r>
        <w:rPr>
          <w:rFonts w:eastAsia="等线" w:ascii="Arial" w:cs="Arial" w:hAnsi="Arial"/>
          <w:sz w:val="22"/>
        </w:rPr>
        <w:t xml:space="preserve">         重点解决如何让销售跟进线索有标准化动作，售前如何协同线索培育，实现线索进入漏斗前的长期跟踪培育规范化。基于客户视角划分培育四个阶段（状态）：</w:t>
      </w:r>
      <w:r>
        <w:rPr>
          <w:rFonts w:eastAsia="等线" w:ascii="Arial" w:cs="Arial" w:hAnsi="Arial"/>
          <w:b w:val="true"/>
          <w:sz w:val="22"/>
        </w:rPr>
        <w:t>了解客户基本信息</w:t>
      </w:r>
      <w:r>
        <w:rPr>
          <w:rFonts w:eastAsia="等线" w:ascii="Arial" w:cs="Arial" w:hAnsi="Arial"/>
          <w:sz w:val="22"/>
        </w:rPr>
        <w:t>、</w:t>
      </w:r>
      <w:r>
        <w:rPr>
          <w:rFonts w:eastAsia="等线" w:ascii="Arial" w:cs="Arial" w:hAnsi="Arial"/>
          <w:b w:val="true"/>
          <w:sz w:val="22"/>
        </w:rPr>
        <w:t>定位客户业务目标、驱动客户有利我司框架路线、协同客户立项审批</w:t>
      </w:r>
      <w:r>
        <w:rPr>
          <w:rFonts w:eastAsia="等线" w:ascii="Arial" w:cs="Arial" w:hAnsi="Arial"/>
          <w:sz w:val="22"/>
        </w:rPr>
        <w:t>，细化市场销售、售前在四个阶段对应关键跟进工作以及核心指导目标。</w:t>
      </w:r>
    </w:p>
    <w:p>
      <w:pPr>
        <w:spacing w:before="120" w:after="120" w:line="288" w:lineRule="auto"/>
        <w:ind w:left="0" w:firstLine="420"/>
        <w:jc w:val="left"/>
      </w:pPr>
      <w:r>
        <w:rPr>
          <w:rFonts w:eastAsia="等线" w:ascii="Arial" w:cs="Arial" w:hAnsi="Arial"/>
          <w:sz w:val="22"/>
        </w:rPr>
        <w:t xml:space="preserve">       制定部门和区域层面对线索跟进的关键举措，设立线索转化率指标（培育进入漏斗个数、培育进入漏斗转换成优势的个数），通过数据结果来牵引线索培育到漏斗内，并且成为优势类项目；精细化管理销售线索跟进过程，指导销售、售前有序推进线索转换项目思维，增强市场客户业务机会强覆盖及优势方案埋入，早期提升项目成功率。</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2. </w:t>
      </w:r>
      <w:r>
        <w:rPr>
          <w:rFonts w:eastAsia="等线" w:ascii="Arial" w:cs="Arial" w:hAnsi="Arial"/>
          <w:b w:val="true"/>
          <w:sz w:val="36"/>
        </w:rPr>
        <w:t>适用范围</w:t>
      </w:r>
      <w:bookmarkEnd w:id="2"/>
    </w:p>
    <w:p>
      <w:pPr>
        <w:spacing w:before="120" w:after="120" w:line="288" w:lineRule="auto"/>
        <w:ind w:left="0" w:firstLine="420"/>
        <w:jc w:val="left"/>
      </w:pPr>
      <w:r>
        <w:rPr>
          <w:rFonts w:eastAsia="等线" w:ascii="Arial" w:cs="Arial" w:hAnsi="Arial"/>
          <w:sz w:val="22"/>
        </w:rPr>
        <w:t>本流程适用于 EBG 所有销售、售前、区域销管BP、区域销售主管针对线索日常跟踪和培育的业务场景，适用于</w:t>
      </w:r>
      <w:r>
        <w:rPr>
          <w:rFonts w:eastAsia="等线" w:ascii="Arial" w:cs="Arial" w:hAnsi="Arial"/>
          <w:b w:val="true"/>
          <w:sz w:val="22"/>
        </w:rPr>
        <w:t>在CRM上从创建到进入漏斗时间至少1个月，预估出货金额30万以上</w:t>
      </w:r>
      <w:r>
        <w:rPr>
          <w:rFonts w:eastAsia="等线" w:ascii="Arial" w:cs="Arial" w:hAnsi="Arial"/>
          <w:sz w:val="22"/>
        </w:rPr>
        <w:t>的线索</w:t>
      </w:r>
      <w:r>
        <w:rPr>
          <w:rFonts w:eastAsia="等线" w:ascii="Arial" w:cs="Arial" w:hAnsi="Arial"/>
          <w:b w:val="true"/>
          <w:sz w:val="22"/>
        </w:rPr>
        <w:t>。</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3. </w:t>
      </w:r>
      <w:r>
        <w:rPr>
          <w:rFonts w:eastAsia="等线" w:ascii="Arial" w:cs="Arial" w:hAnsi="Arial"/>
          <w:b w:val="true"/>
          <w:sz w:val="36"/>
        </w:rPr>
        <w:t>名词解释</w:t>
      </w:r>
      <w:bookmarkEnd w:id="3"/>
    </w:p>
    <w:p>
      <w:pPr>
        <w:spacing w:before="120" w:after="120" w:line="288" w:lineRule="auto"/>
        <w:ind w:left="0" w:firstLine="0"/>
        <w:jc w:val="left"/>
      </w:pPr>
      <w:r>
        <w:rPr>
          <w:rFonts w:eastAsia="等线" w:ascii="Arial" w:cs="Arial" w:hAnsi="Arial"/>
          <w:b w:val="true"/>
          <w:sz w:val="22"/>
        </w:rPr>
        <w:t>机会-</w:t>
      </w:r>
      <w:r>
        <w:rPr>
          <w:rFonts w:eastAsia="等线" w:ascii="Arial" w:cs="Arial" w:hAnsi="Arial"/>
          <w:sz w:val="22"/>
        </w:rPr>
        <w:t>：针对线索中，ANT 当中至少 1 个明确，且 M 不明确的。</w:t>
      </w:r>
    </w:p>
    <w:p>
      <w:pPr>
        <w:spacing w:before="120" w:after="120" w:line="288" w:lineRule="auto"/>
        <w:ind w:left="0" w:firstLine="0"/>
        <w:jc w:val="left"/>
      </w:pPr>
      <w:r>
        <w:rPr>
          <w:rFonts w:eastAsia="等线" w:ascii="Arial" w:cs="Arial" w:hAnsi="Arial"/>
          <w:b w:val="true"/>
          <w:sz w:val="22"/>
        </w:rPr>
        <w:t>机会+</w:t>
      </w:r>
      <w:r>
        <w:rPr>
          <w:rFonts w:eastAsia="等线" w:ascii="Arial" w:cs="Arial" w:hAnsi="Arial"/>
          <w:sz w:val="22"/>
        </w:rPr>
        <w:t>：针对线索中，M 明确，且 ANT 没有全部明确的。</w:t>
      </w:r>
    </w:p>
    <w:p>
      <w:pPr>
        <w:spacing w:before="120" w:after="120" w:line="288" w:lineRule="auto"/>
        <w:ind w:left="0" w:firstLine="0"/>
        <w:jc w:val="left"/>
      </w:pPr>
      <w:r>
        <w:rPr>
          <w:rFonts w:eastAsia="等线" w:ascii="Arial" w:cs="Arial" w:hAnsi="Arial"/>
          <w:b w:val="true"/>
          <w:sz w:val="22"/>
        </w:rPr>
        <w:t>线索转化率</w:t>
      </w:r>
      <w:r>
        <w:rPr>
          <w:rFonts w:eastAsia="等线" w:ascii="Arial" w:cs="Arial" w:hAnsi="Arial"/>
          <w:sz w:val="22"/>
        </w:rPr>
        <w:t>：针对线索在1个月内，从漏斗外转换成漏斗内项目（可能+、可能-、优势、确保类型）的个数转化率、以及成为优势项目个数的转化率 （绝对值的百分比率）。</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  a， “进漏斗个数转换率”  </w:t>
      </w:r>
      <w:r>
        <w:rPr>
          <w:rFonts w:eastAsia="等线" w:ascii="Arial" w:cs="Arial" w:hAnsi="Arial"/>
          <w:sz w:val="22"/>
        </w:rPr>
        <w:t>计算公式  =  转换为漏斗内线索的个数 / 漏斗外线索的总个数 *100%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b， </w:t>
      </w:r>
      <w:r>
        <w:rPr>
          <w:rFonts w:eastAsia="等线" w:ascii="Arial" w:cs="Arial" w:hAnsi="Arial"/>
          <w:sz w:val="22"/>
        </w:rPr>
        <w:t>“</w:t>
      </w:r>
      <w:r>
        <w:rPr>
          <w:rFonts w:eastAsia="等线" w:ascii="Arial" w:cs="Arial" w:hAnsi="Arial"/>
          <w:b w:val="true"/>
          <w:sz w:val="22"/>
        </w:rPr>
        <w:t>进漏斗优势转化率</w:t>
      </w:r>
      <w:r>
        <w:rPr>
          <w:rFonts w:eastAsia="等线" w:ascii="Arial" w:cs="Arial" w:hAnsi="Arial"/>
          <w:sz w:val="22"/>
        </w:rPr>
        <w:t>”   计算公式 = 转换为漏斗内优势项目的个数/ 漏斗外线索的总个数*100% ；</w:t>
      </w:r>
    </w:p>
    <w:p>
      <w:pPr>
        <w:spacing w:before="120" w:after="120" w:line="288" w:lineRule="auto"/>
        <w:ind w:left="0" w:firstLine="0"/>
        <w:jc w:val="left"/>
      </w:pPr>
      <w:r>
        <w:rPr>
          <w:rFonts w:eastAsia="等线" w:ascii="Arial" w:cs="Arial" w:hAnsi="Arial"/>
          <w:b w:val="true"/>
          <w:sz w:val="22"/>
        </w:rPr>
        <w:t>良性转化：</w:t>
      </w:r>
      <w:r>
        <w:rPr>
          <w:rFonts w:eastAsia="等线" w:ascii="Arial" w:cs="Arial" w:hAnsi="Arial"/>
          <w:sz w:val="22"/>
        </w:rPr>
        <w:t>从线索跟踪培育状态起，两Q期内完成从机会状态到优势状态及以上状态漏斗的线索跟进培育。</w:t>
      </w:r>
    </w:p>
    <w:p>
      <w:pPr>
        <w:spacing w:before="120" w:after="120" w:line="288" w:lineRule="auto"/>
        <w:ind w:left="0" w:firstLine="0"/>
        <w:jc w:val="left"/>
      </w:pPr>
      <w:r>
        <w:rPr>
          <w:rFonts w:eastAsia="等线" w:ascii="Arial" w:cs="Arial" w:hAnsi="Arial"/>
          <w:b w:val="true"/>
          <w:sz w:val="22"/>
        </w:rPr>
        <w:t>差质转化：</w:t>
      </w:r>
      <w:r>
        <w:rPr>
          <w:rFonts w:eastAsia="等线" w:ascii="Arial" w:cs="Arial" w:hAnsi="Arial"/>
          <w:sz w:val="22"/>
        </w:rPr>
        <w:t xml:space="preserve">从线索跟踪培育状态起，两Q期内完成从机会状态到关闭或者取消状态，或者到可能-状态，以及未能进入漏斗的跟进培育。      </w:t>
      </w:r>
    </w:p>
    <w:p>
      <w:pPr>
        <w:spacing w:before="120" w:after="120" w:line="288" w:lineRule="auto"/>
        <w:ind w:left="0" w:firstLine="0"/>
        <w:jc w:val="left"/>
      </w:pPr>
      <w:r>
        <w:rPr>
          <w:rFonts w:eastAsia="等线" w:ascii="Arial" w:cs="Arial" w:hAnsi="Arial"/>
          <w:b w:val="true"/>
          <w:sz w:val="22"/>
        </w:rPr>
        <w:t>呆滞线索</w:t>
      </w:r>
      <w:r>
        <w:rPr>
          <w:rFonts w:eastAsia="等线" w:ascii="Arial" w:cs="Arial" w:hAnsi="Arial"/>
          <w:sz w:val="22"/>
        </w:rPr>
        <w:t>：处于线索中心的，1个月内机会-、机会+类线索没有任何跟进动作的（以CRM上销售和售前填写的跟进拜访记录为准）。</w:t>
      </w:r>
    </w:p>
    <w:p>
      <w:pPr>
        <w:spacing w:before="120" w:after="120" w:line="288" w:lineRule="auto"/>
        <w:ind w:left="0" w:firstLine="0"/>
        <w:jc w:val="left"/>
      </w:pPr>
      <w:r>
        <w:rPr>
          <w:rFonts w:eastAsia="等线" w:ascii="Arial" w:cs="Arial" w:hAnsi="Arial"/>
          <w:b w:val="true"/>
          <w:sz w:val="22"/>
        </w:rPr>
        <w:t>线索（项目）取消：</w:t>
      </w:r>
      <w:r>
        <w:rPr>
          <w:rFonts w:eastAsia="等线" w:ascii="Arial" w:cs="Arial" w:hAnsi="Arial"/>
          <w:sz w:val="22"/>
        </w:rPr>
        <w:t>经过销售跟进培育，明确了资金取消或者需求取消的，被定义为项目取消。例如由于客户立项资金未能审批，或者资金审批不能到账的，以及客户的变化导致需求取消的（如政策要求、不可抗力因素等），此类项目明确后及时CRM上进行关闭项目。</w:t>
      </w:r>
    </w:p>
    <w:p>
      <w:pPr>
        <w:spacing w:before="120" w:after="120" w:line="288" w:lineRule="auto"/>
        <w:ind w:left="0" w:firstLine="0"/>
        <w:jc w:val="left"/>
      </w:pPr>
      <w:r>
        <w:rPr>
          <w:rFonts w:eastAsia="等线" w:ascii="Arial" w:cs="Arial" w:hAnsi="Arial"/>
          <w:b w:val="true"/>
          <w:sz w:val="22"/>
        </w:rPr>
        <w:t xml:space="preserve">    注：</w:t>
      </w:r>
    </w:p>
    <w:p>
      <w:pPr>
        <w:numPr>
          <w:numId w:val="1"/>
        </w:numPr>
        <w:spacing w:before="120" w:after="120" w:line="288" w:lineRule="auto"/>
        <w:ind w:left="0"/>
        <w:jc w:val="left"/>
      </w:pPr>
      <w:r>
        <w:rPr>
          <w:rFonts w:eastAsia="等线" w:ascii="Arial" w:cs="Arial" w:hAnsi="Arial"/>
          <w:sz w:val="22"/>
        </w:rPr>
        <w:t>漏斗转换率，金额转化率为鼓励激励线索推进和转换漏斗的意识和动作，试点阶段暂不做基准值的设计或者要求。</w:t>
      </w:r>
    </w:p>
    <w:p>
      <w:pPr>
        <w:numPr>
          <w:numId w:val="2"/>
        </w:numPr>
        <w:spacing w:before="120" w:after="120" w:line="288" w:lineRule="auto"/>
        <w:ind w:left="0"/>
        <w:jc w:val="left"/>
      </w:pPr>
      <w:r>
        <w:rPr>
          <w:rFonts w:eastAsia="等线" w:ascii="Arial" w:cs="Arial" w:hAnsi="Arial"/>
          <w:sz w:val="22"/>
        </w:rPr>
        <w:t>机会+、机会-、线索定义引用于企业级网络事业群（EBG）2025年2月14日发布的《销售漏斗质量管理标准 V9.0》文件。</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900"/>
        <w:gridCol w:w="627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岗位描述</w:t>
            </w:r>
          </w:p>
        </w:tc>
        <w:tc>
          <w:tcPr>
            <w:tcW w:w="62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区域销售</w:t>
            </w:r>
          </w:p>
          <w:p>
            <w:pPr>
              <w:spacing w:before="120" w:after="120" w:line="288" w:lineRule="auto"/>
              <w:ind w:left="0"/>
              <w:jc w:val="left"/>
            </w:pPr>
            <w:r>
              <w:rPr>
                <w:rFonts w:eastAsia="等线" w:ascii="Arial" w:cs="Arial" w:hAnsi="Arial"/>
                <w:sz w:val="22"/>
              </w:rPr>
              <w:t>行业销售</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线索跟进培育的主责人，负责建立与客户的交流方式，为售前提供从客户业务现状梳理、业务建设目标需求确认等便利条件，引导客户认可我司方案，并协助客户解决立项困难，完成立项及审批，跟进预算批复情况，并直至推进到漏斗的整个该线索客户、渠道层面推进工作，并且负责线索培育跟踪行动CRM系统同步留痕和操作。</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售前</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区域售前</w:t>
            </w:r>
          </w:p>
          <w:p>
            <w:pPr>
              <w:spacing w:before="120" w:after="120" w:line="288" w:lineRule="auto"/>
              <w:ind w:left="0"/>
              <w:jc w:val="left"/>
            </w:pPr>
            <w:r>
              <w:rPr>
                <w:rFonts w:eastAsia="等线" w:ascii="Arial" w:cs="Arial" w:hAnsi="Arial"/>
                <w:sz w:val="22"/>
              </w:rPr>
              <w:t>行业售前</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线索跟踪培育过程中，定位客户问题、引导客户需求以及协同客户立项阶段，所有价值层面认可工作的主导推进；重点协助销售线索培育的客户业务网络现状梳理，精确识别业务建设目标以及转换建设需求，制定好我司竞争策略，及传递我司优势方案得到客户认可，协助推进线索客户立项，审批预算；线索培育过程中CRM系统同步留痕，上传和更新清单、立项申报方案。</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区域线索管理会：主导召开区域线索管理会，针对线索分发和验证、跟踪及培育过程中异常问题识别，总结拉通优秀经验，总结差质转换教训、解决呆滞线索，提升区域、销售个人、单元内的线索转换进漏斗个数比率、进漏斗金额比率，管理好线索和指导好销售动作。</w:t>
            </w:r>
          </w:p>
        </w:tc>
      </w:tr>
    </w:tbl>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5. </w:t>
      </w:r>
      <w:r>
        <w:rPr>
          <w:rFonts w:eastAsia="等线" w:ascii="Arial" w:cs="Arial" w:hAnsi="Arial"/>
          <w:b w:val="true"/>
          <w:sz w:val="36"/>
        </w:rPr>
        <w:t>流程文件说明</w:t>
      </w:r>
      <w:bookmarkEnd w:id="5"/>
    </w:p>
    <w:p>
      <w:pPr>
        <w:pStyle w:val="2"/>
        <w:spacing w:before="320" w:after="120" w:line="288" w:lineRule="auto"/>
        <w:ind w:left="0"/>
        <w:jc w:val="left"/>
        <w:outlineLvl w:val="1"/>
      </w:pPr>
      <w:bookmarkStart w:name="heading_6" w:id="6"/>
      <w:r>
        <w:rPr>
          <w:rFonts w:eastAsia="等线" w:ascii="Arial" w:cs="Arial" w:hAnsi="Arial"/>
          <w:b w:val="true"/>
          <w:color w:val="245bdb"/>
          <w:sz w:val="32"/>
        </w:rPr>
        <w:t xml:space="preserve">5.1 </w:t>
      </w:r>
      <w:r>
        <w:rPr>
          <w:rFonts w:eastAsia="等线" w:ascii="Arial" w:cs="Arial" w:hAnsi="Arial"/>
          <w:b w:val="true"/>
          <w:sz w:val="32"/>
        </w:rPr>
        <w:t>流程卡</w:t>
      </w:r>
      <w:bookmarkEnd w:id="6"/>
    </w:p>
    <w:p>
      <w:pPr>
        <w:spacing w:before="120" w:after="120" w:line="288" w:lineRule="auto"/>
        <w:ind w:left="0" w:firstLine="0"/>
        <w:jc w:val="left"/>
      </w:pPr>
      <w:r>
        <w:rPr>
          <w:rFonts w:eastAsia="等线" w:ascii="Arial" w:cs="Arial" w:hAnsi="Arial"/>
          <w:b w:val="true"/>
          <w:sz w:val="22"/>
        </w:rPr>
        <w:t>L2 流程卡：</w:t>
      </w:r>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L3流程卡：</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5.2 </w:t>
      </w:r>
      <w:r>
        <w:rPr>
          <w:rFonts w:eastAsia="等线" w:ascii="Arial" w:cs="Arial" w:hAnsi="Arial"/>
          <w:b w:val="true"/>
          <w:sz w:val="32"/>
        </w:rPr>
        <w:t>流程图</w:t>
      </w:r>
      <w:bookmarkEnd w:id="7"/>
    </w:p>
    <w:p>
      <w:pPr>
        <w:pStyle w:val="3"/>
        <w:spacing w:before="300" w:after="120" w:line="288" w:lineRule="auto"/>
        <w:ind w:left="0"/>
        <w:jc w:val="left"/>
        <w:outlineLvl w:val="2"/>
      </w:pPr>
      <w:bookmarkStart w:name="heading_8" w:id="8"/>
      <w:r>
        <w:rPr>
          <w:rFonts w:eastAsia="等线" w:ascii="Arial" w:cs="Arial" w:hAnsi="Arial"/>
          <w:b w:val="true"/>
          <w:color w:val="245bdb"/>
          <w:sz w:val="30"/>
        </w:rPr>
        <w:t xml:space="preserve">5.2.1 </w:t>
      </w:r>
      <w:r>
        <w:rPr>
          <w:rFonts w:eastAsia="等线" w:ascii="Arial" w:cs="Arial" w:hAnsi="Arial"/>
          <w:b w:val="true"/>
          <w:sz w:val="30"/>
        </w:rPr>
        <w:t>L2 流程框架（键盘图）</w:t>
      </w:r>
      <w:bookmarkEnd w:id="8"/>
    </w:p>
    <w:p>
      <w:pPr>
        <w:spacing w:before="120" w:after="120" w:line="288" w:lineRule="auto"/>
        <w:ind w:left="0"/>
        <w:jc w:val="center"/>
      </w:pPr>
      <w:r>
        <w:drawing>
          <wp:inline distT="0" distR="0" distB="0" distL="0">
            <wp:extent cx="5257800" cy="2209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2098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5.2.2 </w:t>
      </w:r>
      <w:r>
        <w:rPr>
          <w:rFonts w:eastAsia="等线" w:ascii="Arial" w:cs="Arial" w:hAnsi="Arial"/>
          <w:b w:val="true"/>
          <w:sz w:val="30"/>
        </w:rPr>
        <w:t>L2 流程图</w:t>
      </w:r>
      <w:bookmarkEnd w:id="9"/>
    </w:p>
    <w:p>
      <w:pPr>
        <w:spacing w:before="120" w:after="120" w:line="288" w:lineRule="auto"/>
        <w:ind w:left="0"/>
        <w:jc w:val="center"/>
      </w:pPr>
      <w:r>
        <w:drawing>
          <wp:inline distT="0" distR="0" distB="0" distL="0">
            <wp:extent cx="5257800" cy="1838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838325"/>
                    </a:xfrm>
                    <a:prstGeom prst="rect">
                      <a:avLst/>
                    </a:prstGeom>
                  </pic:spPr>
                </pic:pic>
              </a:graphicData>
            </a:graphic>
          </wp:inline>
        </w:drawing>
      </w:r>
    </w:p>
    <w:p>
      <w:pPr>
        <w:pStyle w:val="3"/>
        <w:spacing w:before="300" w:after="120" w:line="288" w:lineRule="auto"/>
        <w:ind w:left="0"/>
        <w:jc w:val="left"/>
        <w:outlineLvl w:val="2"/>
      </w:pPr>
      <w:bookmarkStart w:name="heading_10" w:id="10"/>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5.2.3 </w:t>
      </w:r>
      <w:r>
        <w:rPr>
          <w:rFonts w:eastAsia="等线" w:ascii="Arial" w:cs="Arial" w:hAnsi="Arial"/>
          <w:b w:val="true"/>
          <w:sz w:val="30"/>
        </w:rPr>
        <w:t xml:space="preserve">L3  流程图 </w:t>
      </w:r>
      <w:bookmarkEnd w:id="11"/>
    </w:p>
    <w:p>
      <w:pPr>
        <w:spacing w:before="120" w:after="120" w:line="288" w:lineRule="auto"/>
        <w:ind w:left="0" w:firstLine="0"/>
        <w:jc w:val="left"/>
      </w:pPr>
      <w:r>
        <w:rPr>
          <w:rFonts w:eastAsia="等线" w:ascii="Arial" w:cs="Arial" w:hAnsi="Arial"/>
          <w:b w:val="true"/>
          <w:sz w:val="22"/>
        </w:rPr>
        <w:t>流程示意图</w:t>
      </w:r>
    </w:p>
    <w:p>
      <w:pPr>
        <w:spacing w:before="120" w:after="120" w:line="288" w:lineRule="auto"/>
        <w:ind w:left="0"/>
        <w:jc w:val="center"/>
      </w:pPr>
      <w:r>
        <w:drawing>
          <wp:inline distT="0" distR="0" distB="0" distL="0">
            <wp:extent cx="5257800" cy="1552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5525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流程图</w:t>
      </w:r>
    </w:p>
    <w:p>
      <w:pPr>
        <w:spacing w:before="120" w:after="120" w:line="288" w:lineRule="auto"/>
        <w:ind w:left="0"/>
        <w:jc w:val="center"/>
      </w:pPr>
      <w:r>
        <w:drawing>
          <wp:inline distT="0" distR="0" distB="0" distL="0">
            <wp:extent cx="5257800" cy="2724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724150"/>
                    </a:xfrm>
                    <a:prstGeom prst="rect">
                      <a:avLst/>
                    </a:prstGeom>
                  </pic:spPr>
                </pic:pic>
              </a:graphicData>
            </a:graphic>
          </wp:inline>
        </w:drawing>
      </w:r>
    </w:p>
    <w:p>
      <w:pPr>
        <w:spacing w:before="120" w:after="120" w:line="288" w:lineRule="auto"/>
        <w:ind w:left="0" w:firstLine="0"/>
        <w:jc w:val="left"/>
      </w:pPr>
    </w:p>
    <w:p>
      <w:pPr>
        <w:pStyle w:val="2"/>
        <w:spacing w:before="320" w:after="120" w:line="288" w:lineRule="auto"/>
        <w:ind w:left="0"/>
        <w:jc w:val="left"/>
        <w:outlineLvl w:val="1"/>
      </w:pPr>
      <w:bookmarkStart w:name="heading_12" w:id="12"/>
      <w:r>
        <w:rPr>
          <w:rFonts w:eastAsia="等线" w:ascii="Arial" w:cs="Arial" w:hAnsi="Arial"/>
          <w:b w:val="true"/>
          <w:color w:val="245bdb"/>
          <w:sz w:val="32"/>
        </w:rPr>
        <w:t xml:space="preserve">5.3 </w:t>
      </w:r>
      <w:r>
        <w:rPr>
          <w:rFonts w:eastAsia="等线" w:ascii="Arial" w:cs="Arial" w:hAnsi="Arial"/>
          <w:b w:val="true"/>
          <w:sz w:val="32"/>
        </w:rPr>
        <w:t>流程活动说明</w:t>
      </w:r>
      <w:bookmarkEnd w:id="12"/>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5.3.1 </w:t>
      </w:r>
      <w:r>
        <w:rPr>
          <w:rFonts w:eastAsia="等线" w:ascii="Arial" w:cs="Arial" w:hAnsi="Arial"/>
          <w:b w:val="true"/>
          <w:sz w:val="30"/>
        </w:rPr>
        <w:t>流程活动说明</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375"/>
        <w:gridCol w:w="315"/>
        <w:gridCol w:w="435"/>
        <w:gridCol w:w="1260"/>
        <w:gridCol w:w="300"/>
        <w:gridCol w:w="615"/>
        <w:gridCol w:w="750"/>
        <w:gridCol w:w="495"/>
        <w:gridCol w:w="780"/>
        <w:gridCol w:w="495"/>
        <w:gridCol w:w="555"/>
        <w:gridCol w:w="735"/>
        <w:gridCol w:w="960"/>
      </w:tblGrid>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子流程</w:t>
            </w: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流程活动说明</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输出</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w:t>
            </w:r>
          </w:p>
          <w:p>
            <w:pPr>
              <w:spacing w:before="120" w:after="120" w:line="288" w:lineRule="auto"/>
              <w:ind w:left="0"/>
              <w:jc w:val="left"/>
            </w:pPr>
            <w:r>
              <w:rPr>
                <w:rFonts w:eastAsia="等线" w:ascii="Arial" w:cs="Arial" w:hAnsi="Arial"/>
                <w:sz w:val="22"/>
              </w:rPr>
              <w:t>（与之前的主要变化点）</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工具模板</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3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M10.3.1了解客户基本信息</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接触客户关键人</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1，通过分发/验证的线索到给到对应销售，销售经过证实能力，与该线索的客户联系人建立联系与沟通多种方式；</w:t>
            </w:r>
          </w:p>
          <w:p>
            <w:pPr>
              <w:spacing w:before="120" w:after="120" w:line="288" w:lineRule="auto"/>
              <w:ind w:left="0"/>
              <w:jc w:val="left"/>
            </w:pPr>
            <w:r>
              <w:rPr>
                <w:rFonts w:eastAsia="等线" w:ascii="Arial" w:cs="Arial" w:hAnsi="Arial"/>
                <w:sz w:val="22"/>
              </w:rPr>
              <w:t>2，通过沟通识别出来客户关键人（评估者、决策者或者拍板者任何一个均可），并且能够预约与其正式交流。</w:t>
            </w:r>
          </w:p>
          <w:p>
            <w:pPr>
              <w:spacing w:before="120" w:after="120" w:line="288" w:lineRule="auto"/>
              <w:ind w:left="0"/>
              <w:jc w:val="left"/>
            </w:pPr>
            <w:r>
              <w:rPr>
                <w:rFonts w:eastAsia="等线" w:ascii="Arial" w:cs="Arial" w:hAnsi="Arial"/>
                <w:b w:val="true"/>
                <w:sz w:val="22"/>
              </w:rPr>
              <w:t>完成此上动作需要在CRM上完成清晰留痕，录入拜访动作。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分发和验证到销售个人的线索</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客户关键人的联系方式</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与客户关键人建立多种联系方式（电话、微信以及线上会议、线下面对面），预约到正式交流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预约到客户关键人的正式交流（及线上会议、线下面对面）</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客户关键人的识别</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9">
              <w:r>
                <w:rPr>
                  <w:rFonts w:eastAsia="等线" w:ascii="Arial" w:cs="Arial" w:hAnsi="Arial"/>
                  <w:color w:val="3370ff"/>
                  <w:sz w:val="22"/>
                </w:rPr>
                <w:t>销售线索标准验证的指导书</w:t>
              </w:r>
            </w:hyperlink>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1，行业背景/基础知识材料</w:t>
            </w:r>
          </w:p>
          <w:p>
            <w:pPr>
              <w:spacing w:before="120" w:after="120" w:line="288" w:lineRule="auto"/>
              <w:ind w:left="0"/>
              <w:jc w:val="left"/>
            </w:pPr>
            <w:r>
              <w:rPr>
                <w:rFonts w:eastAsia="等线" w:ascii="Arial" w:cs="Arial" w:hAnsi="Arial"/>
                <w:sz w:val="22"/>
              </w:rPr>
              <w:t>2，行业的交流准备一纸禅（一页纸、话术）</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了解客户组织架构</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销售梳理客户内部组织架构以及如果建设项目关键决策流、招标流，识别出来决策者、拍板者等角色，并从客户内外部对决策者以上角色进行验证；</w:t>
            </w:r>
          </w:p>
          <w:p>
            <w:pPr>
              <w:spacing w:before="120" w:after="120" w:line="288" w:lineRule="auto"/>
              <w:ind w:left="0"/>
              <w:jc w:val="left"/>
            </w:pPr>
            <w:r>
              <w:rPr>
                <w:rFonts w:eastAsia="等线" w:ascii="Arial" w:cs="Arial" w:hAnsi="Arial"/>
                <w:b w:val="true"/>
                <w:sz w:val="22"/>
              </w:rPr>
              <w:t>成此上动作需要在CRM上清晰留痕，录入拜访动作。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与客户关键人建立多种联系方式（电话、微信以及线上会议、线下面对面），预约到正式交流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预约到客户关键人的正式交流（及线上会议、线下面对面）</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完善的客户组织架构图</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完整客户组织架构图（含各角色、性格、决策属性），精准的招标流程</w:t>
            </w:r>
          </w:p>
        </w:tc>
        <w:tc>
          <w:tcPr>
            <w:tcW w:w="49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0">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1，《锐捷兵法》</w:t>
            </w:r>
          </w:p>
          <w:p>
            <w:pPr>
              <w:spacing w:before="120" w:after="120" w:line="288" w:lineRule="auto"/>
              <w:ind w:left="0"/>
              <w:jc w:val="left"/>
            </w:pPr>
            <w:r>
              <w:rPr>
                <w:rFonts w:eastAsia="等线" w:ascii="Arial" w:cs="Arial" w:hAnsi="Arial"/>
                <w:sz w:val="22"/>
              </w:rPr>
              <w:t>2，《大项目分析会》</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03</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了解核心渠道</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销售通过内部组织架构梳理相对应我司信息化相关项目已有合作的渠道，可通过联合拜访等方式，以及验证该线索项目的主要的优势渠道；</w:t>
            </w:r>
          </w:p>
          <w:p>
            <w:pPr>
              <w:spacing w:before="120" w:after="120" w:line="288" w:lineRule="auto"/>
              <w:ind w:left="0"/>
              <w:jc w:val="left"/>
            </w:pPr>
            <w:r>
              <w:rPr>
                <w:rFonts w:eastAsia="等线" w:ascii="Arial" w:cs="Arial" w:hAnsi="Arial"/>
                <w:b w:val="true"/>
                <w:sz w:val="22"/>
              </w:rPr>
              <w:t>成此上动作需要在CRM上清晰留痕，录入拜访动作。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完善的客户组织架构图</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完整客户组织架构图（含各角色、性格、决策属性），精准的招标流程</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客户组织架构图，完善关键人背后主要渠道信息</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输出完善的客户组织架构图，含主要渠道信息（渠道金字塔、关键人），识别关键人的背后优势渠道（渠道金字塔、关键人）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识别关键人背后的优势渠道</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1">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1，《锐捷兵法》</w:t>
            </w:r>
          </w:p>
          <w:p>
            <w:pPr>
              <w:spacing w:before="120" w:after="120" w:line="288" w:lineRule="auto"/>
              <w:ind w:left="0"/>
              <w:jc w:val="left"/>
            </w:pPr>
            <w:r>
              <w:rPr>
                <w:rFonts w:eastAsia="等线" w:ascii="Arial" w:cs="Arial" w:hAnsi="Arial"/>
                <w:sz w:val="22"/>
              </w:rPr>
              <w:t>2，《大项目分析会》</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3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M10.3.2明确客户业务目标</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梳理客户业务现状</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r>
              <w:rPr>
                <w:rFonts w:eastAsia="等线" w:ascii="Arial" w:cs="Arial" w:hAnsi="Arial"/>
                <w:b w:val="true"/>
                <w:sz w:val="22"/>
              </w:rPr>
              <w:t>梳理业务系统现状、网络品牌组网信息、痛点问题</w:t>
            </w:r>
          </w:p>
          <w:p>
            <w:pPr>
              <w:spacing w:before="120" w:after="120" w:line="288" w:lineRule="auto"/>
              <w:ind w:left="0"/>
              <w:jc w:val="left"/>
            </w:pPr>
            <w:r>
              <w:rPr>
                <w:rFonts w:eastAsia="等线" w:ascii="Arial" w:cs="Arial" w:hAnsi="Arial"/>
                <w:sz w:val="22"/>
              </w:rPr>
              <w:t>1，售前从销售获取该线索的基本信息，如细分行业、新建/改造类型、客户角色，初步关注点，协助销售准备同类案例实力材料；</w:t>
            </w:r>
          </w:p>
          <w:p>
            <w:pPr>
              <w:spacing w:before="120" w:after="120" w:line="288" w:lineRule="auto"/>
              <w:ind w:left="0"/>
              <w:jc w:val="left"/>
            </w:pPr>
            <w:r>
              <w:rPr>
                <w:rFonts w:eastAsia="等线" w:ascii="Arial" w:cs="Arial" w:hAnsi="Arial"/>
                <w:sz w:val="22"/>
              </w:rPr>
              <w:t>2，售前主导技术交流，与客户关键人了解核心业务使用运行情况、核心桌面应用软件（云桌面），现有设备品牌、网络现状梳理，包含现网网络拓扑、数量、流量、终端数等；</w:t>
            </w:r>
          </w:p>
          <w:p>
            <w:pPr>
              <w:spacing w:before="120" w:after="120" w:line="288" w:lineRule="auto"/>
              <w:ind w:left="0"/>
              <w:jc w:val="left"/>
            </w:pPr>
            <w:r>
              <w:rPr>
                <w:rFonts w:eastAsia="等线" w:ascii="Arial" w:cs="Arial" w:hAnsi="Arial"/>
                <w:sz w:val="22"/>
              </w:rPr>
              <w:t>3，挖掘和收集现有网络使用障碍、痛点，影响正常运转的客户不能自己克服解决的问题，或者克服代价极大的问题；</w:t>
            </w:r>
          </w:p>
          <w:p>
            <w:pPr>
              <w:spacing w:before="120" w:after="120" w:line="288" w:lineRule="auto"/>
              <w:ind w:left="0"/>
              <w:jc w:val="left"/>
            </w:pPr>
            <w:r>
              <w:rPr>
                <w:rFonts w:eastAsia="等线" w:ascii="Arial" w:cs="Arial" w:hAnsi="Arial"/>
                <w:b w:val="true"/>
                <w:sz w:val="22"/>
              </w:rPr>
              <w:t>完成此上动作需要在CRM上完成清晰留痕，录入拜访动作。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与客户关键人建立多种联系方式，预约到正式交流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与客户关键人的正式交流</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与客户关键人做了正式交流，了解到核心业务现状、网络现状、业务痛点问题</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清晰梳理出客户核心业务运行状态，网络规模、组网拓扑、设备品牌以及痛点问题</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核心业务识别，明确影响核心业务体验的3个关键因素</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2">
              <w:r>
                <w:rPr>
                  <w:rFonts w:eastAsia="等线" w:ascii="Arial" w:cs="Arial" w:hAnsi="Arial"/>
                  <w:color w:val="3370ff"/>
                  <w:sz w:val="22"/>
                </w:rPr>
                <w:t>销售线索标准验证的指导书</w:t>
              </w:r>
            </w:hyperlink>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1，看网讲网网络调研部分</w:t>
            </w:r>
          </w:p>
          <w:p>
            <w:pPr>
              <w:spacing w:before="120" w:after="120" w:line="288" w:lineRule="auto"/>
              <w:ind w:left="0"/>
              <w:jc w:val="left"/>
            </w:pPr>
            <w:r>
              <w:rPr>
                <w:rFonts w:eastAsia="等线" w:ascii="Arial" w:cs="Arial" w:hAnsi="Arial"/>
                <w:sz w:val="22"/>
              </w:rPr>
              <w:t>2，《锐捷网络售前解决方案撰写》--痛点和需求挖掘五部曲</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识别客户业务目标</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r>
              <w:rPr>
                <w:rFonts w:eastAsia="等线" w:ascii="Arial" w:cs="Arial" w:hAnsi="Arial"/>
                <w:b w:val="true"/>
                <w:sz w:val="22"/>
              </w:rPr>
              <w:t>挖掘影响事件、分析客户需求、梳理业务目标</w:t>
            </w:r>
          </w:p>
          <w:p>
            <w:pPr>
              <w:spacing w:before="120" w:after="120" w:line="288" w:lineRule="auto"/>
              <w:ind w:left="0"/>
              <w:jc w:val="left"/>
            </w:pPr>
            <w:r>
              <w:rPr>
                <w:rFonts w:eastAsia="等线" w:ascii="Arial" w:cs="Arial" w:hAnsi="Arial"/>
                <w:sz w:val="22"/>
              </w:rPr>
              <w:t>1，售前主导交流来挖掘业务事件，以及事件造成不好的影响，给客户关键人角色以上人员带来的影响关联，梳理与我司产品方案关联。</w:t>
            </w:r>
          </w:p>
          <w:p>
            <w:pPr>
              <w:spacing w:before="120" w:after="120" w:line="288" w:lineRule="auto"/>
              <w:ind w:left="0"/>
              <w:jc w:val="left"/>
            </w:pPr>
            <w:r>
              <w:rPr>
                <w:rFonts w:eastAsia="等线" w:ascii="Arial" w:cs="Arial" w:hAnsi="Arial"/>
                <w:sz w:val="22"/>
              </w:rPr>
              <w:t>2，售前主导交流来共识业务痛点、障碍问题进行筛选，提炼业务对网络的关键需求，结合客户关键人（决策以上角色）分析，转换为客户优先级高的需求，翻译成对网络的要求；</w:t>
            </w:r>
          </w:p>
          <w:p>
            <w:pPr>
              <w:spacing w:before="120" w:after="120" w:line="288" w:lineRule="auto"/>
              <w:ind w:left="0"/>
              <w:jc w:val="left"/>
            </w:pPr>
            <w:r>
              <w:rPr>
                <w:rFonts w:eastAsia="等线" w:ascii="Arial" w:cs="Arial" w:hAnsi="Arial"/>
                <w:sz w:val="22"/>
              </w:rPr>
              <w:t>3，售前主导交流来梳理关键角色的业务实现目标，结合决策者以上KPI影响因素、关键人的个人关注点，最终识别成为锐捷产品方案能够解决优势点。</w:t>
            </w:r>
          </w:p>
          <w:p>
            <w:pPr>
              <w:spacing w:before="120" w:after="120" w:line="288" w:lineRule="auto"/>
              <w:ind w:left="0"/>
              <w:jc w:val="left"/>
            </w:pPr>
            <w:r>
              <w:rPr>
                <w:rFonts w:eastAsia="等线" w:ascii="Arial" w:cs="Arial" w:hAnsi="Arial"/>
                <w:b w:val="true"/>
                <w:sz w:val="22"/>
              </w:rPr>
              <w:t>完成此上动作需要在CRM上完成清晰留痕，录入拜访动作。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与客户关键人做了正式交流，了解到核心业务现状、网络现状、业务痛点问题</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清晰梳理出客户核心业务运行状态，网络规模、组网拓扑、设备品牌以及痛点问题</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总结业务核心建设目标，共识决策人及以上需求</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客户关键人（评估者、决策者、以及拍板者）各角色需求梳理表、业务建设目标</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决策者及以上核心需求梳理、业务KPI考核</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3">
              <w:r>
                <w:rPr>
                  <w:rFonts w:eastAsia="等线" w:ascii="Arial" w:cs="Arial" w:hAnsi="Arial"/>
                  <w:color w:val="3370ff"/>
                  <w:sz w:val="22"/>
                </w:rPr>
                <w:t>销售线索标准验证的指导书</w:t>
              </w:r>
            </w:hyperlink>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1，《锐捷网络售前解决方案撰写》--痛点和需求挖掘五部曲</w:t>
            </w:r>
          </w:p>
          <w:p>
            <w:pPr>
              <w:spacing w:before="120" w:after="120" w:line="288" w:lineRule="auto"/>
              <w:ind w:left="0"/>
              <w:jc w:val="left"/>
            </w:pPr>
            <w:r>
              <w:rPr>
                <w:rFonts w:eastAsia="等线" w:ascii="Arial" w:cs="Arial" w:hAnsi="Arial"/>
                <w:sz w:val="22"/>
              </w:rPr>
              <w:t>2，《锐捷网络售前-两线四步-搞定需求探寻》</w:t>
            </w:r>
          </w:p>
          <w:p>
            <w:pPr>
              <w:spacing w:before="120" w:after="120" w:line="288" w:lineRule="auto"/>
              <w:ind w:left="0"/>
              <w:jc w:val="left"/>
            </w:pPr>
            <w:r>
              <w:rPr>
                <w:rFonts w:eastAsia="等线" w:ascii="Arial" w:cs="Arial" w:hAnsi="Arial"/>
                <w:sz w:val="22"/>
              </w:rPr>
              <w:t>3，《锐捷网络售前解决方案撰写》--需求分析表--痛苦链工具、倒金字塔、场景三步法</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06</w:t>
            </w:r>
          </w:p>
        </w:tc>
        <w:tc>
          <w:tcPr>
            <w:tcW w:w="3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M10.3.2建立客户方案框架</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设计竞争策略</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售前         </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r>
              <w:rPr>
                <w:rFonts w:eastAsia="等线" w:ascii="Arial" w:cs="Arial" w:hAnsi="Arial"/>
                <w:b w:val="true"/>
                <w:sz w:val="22"/>
              </w:rPr>
              <w:t>识别竞争对手、制定竞争策略、弱化屏蔽对手</w:t>
            </w:r>
          </w:p>
          <w:p>
            <w:pPr>
              <w:spacing w:before="120" w:after="120" w:line="288" w:lineRule="auto"/>
              <w:ind w:left="0"/>
              <w:jc w:val="left"/>
            </w:pPr>
            <w:r>
              <w:rPr>
                <w:rFonts w:eastAsia="等线" w:ascii="Arial" w:cs="Arial" w:hAnsi="Arial"/>
                <w:sz w:val="22"/>
              </w:rPr>
              <w:t>1，销售协助售前了解关键竞争对手现状，识别最主要竞争对手，关键竞争对手在客户支持情况（如支持者、反对者）；</w:t>
            </w:r>
          </w:p>
          <w:p>
            <w:pPr>
              <w:spacing w:before="120" w:after="120" w:line="288" w:lineRule="auto"/>
              <w:ind w:left="0"/>
              <w:jc w:val="left"/>
            </w:pPr>
            <w:r>
              <w:rPr>
                <w:rFonts w:eastAsia="等线" w:ascii="Arial" w:cs="Arial" w:hAnsi="Arial"/>
                <w:sz w:val="22"/>
              </w:rPr>
              <w:t>2，了解和分析主要竞争对手技术路线、相应的产品方案，分析其产品、方案、服务层面客户关键人需求的满足度，以及我司对比优劣势；</w:t>
            </w:r>
          </w:p>
          <w:p>
            <w:pPr>
              <w:spacing w:before="120" w:after="120" w:line="288" w:lineRule="auto"/>
              <w:ind w:left="0"/>
              <w:jc w:val="left"/>
            </w:pPr>
            <w:r>
              <w:rPr>
                <w:rFonts w:eastAsia="等线" w:ascii="Arial" w:cs="Arial" w:hAnsi="Arial"/>
                <w:sz w:val="22"/>
              </w:rPr>
              <w:t>3，基于客户核心业务痛点及场景，从技术路线、产品功能/性能指标、方案完整度层面，基于确认的关键竞争对手劣势点，重新审视分析客户建设目标和需求，植入锐捷独特优势点，转换成关键角色的需求和建设目标，制定出后续技术推进引导策略。</w:t>
            </w:r>
          </w:p>
          <w:p>
            <w:pPr>
              <w:spacing w:before="120" w:after="120" w:line="288" w:lineRule="auto"/>
              <w:ind w:left="0"/>
              <w:jc w:val="left"/>
            </w:pPr>
            <w:r>
              <w:rPr>
                <w:rFonts w:eastAsia="等线" w:ascii="Arial" w:cs="Arial" w:hAnsi="Arial"/>
                <w:b w:val="true"/>
                <w:sz w:val="22"/>
              </w:rPr>
              <w:t>完成此上动作需要在CRM上完成清晰留痕，录入拜访动作。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总结业务核心建设目标，共识决策人及以上需求</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客户关键人（评估者、决策者、以及拍板者）各角色需求梳理表、业务建设目标</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围绕关键业务需求和目标，输出面对主要竞争对手竞争的客户引导策略</w:t>
            </w:r>
          </w:p>
        </w:tc>
        <w:tc>
          <w:tcPr>
            <w:tcW w:w="78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围绕关键业务需求和目标，梳理主要竞争对手劣势点，我司优势，后续推进引导策略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具备锐捷优势解决方案，并得到关键人的认可，带来客户价值</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4">
              <w:r>
                <w:rPr>
                  <w:rFonts w:eastAsia="等线" w:ascii="Arial" w:cs="Arial" w:hAnsi="Arial"/>
                  <w:color w:val="3370ff"/>
                  <w:sz w:val="22"/>
                </w:rPr>
                <w:t>销售线索验证指导书</w:t>
              </w:r>
            </w:hyperlink>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1，《高质量技术交流工作指南》</w:t>
            </w:r>
          </w:p>
          <w:p>
            <w:pPr>
              <w:spacing w:before="120" w:after="120" w:line="288" w:lineRule="auto"/>
              <w:ind w:left="0"/>
              <w:jc w:val="left"/>
            </w:pPr>
            <w:r>
              <w:rPr>
                <w:rFonts w:eastAsia="等线" w:ascii="Arial" w:cs="Arial" w:hAnsi="Arial"/>
                <w:sz w:val="22"/>
              </w:rPr>
              <w:t>2，《锐捷兵法售前版》</w:t>
            </w:r>
          </w:p>
          <w:p>
            <w:pPr>
              <w:spacing w:before="120" w:after="120" w:line="288" w:lineRule="auto"/>
              <w:ind w:left="0"/>
              <w:jc w:val="left"/>
            </w:pPr>
            <w:r>
              <w:rPr>
                <w:rFonts w:eastAsia="等线" w:ascii="Arial" w:cs="Arial" w:hAnsi="Arial"/>
                <w:sz w:val="22"/>
              </w:rPr>
              <w:t>3，参考各行业、产品解决方案竞争分析</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07</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建立技术路线方案框架</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售前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r>
              <w:rPr>
                <w:rFonts w:eastAsia="等线" w:ascii="Arial" w:cs="Arial" w:hAnsi="Arial"/>
                <w:b w:val="true"/>
                <w:sz w:val="22"/>
              </w:rPr>
              <w:t>识别制定UBV、精准竞争分析、输出优势框架路线</w:t>
            </w:r>
          </w:p>
          <w:p>
            <w:pPr>
              <w:spacing w:before="120" w:after="120" w:line="288" w:lineRule="auto"/>
              <w:ind w:left="0"/>
              <w:jc w:val="left"/>
            </w:pPr>
            <w:r>
              <w:rPr>
                <w:rFonts w:eastAsia="等线" w:ascii="Arial" w:cs="Arial" w:hAnsi="Arial"/>
                <w:sz w:val="22"/>
              </w:rPr>
              <w:t>1，售前基于业务关键场景和关键人高优先需求，选择我司技术优势路线、优势产品及差异化方案，梳理精准的我司方案UBV价值点，并能体现在交付落地的产品和方案里；</w:t>
            </w:r>
          </w:p>
          <w:p>
            <w:pPr>
              <w:spacing w:before="120" w:after="120" w:line="288" w:lineRule="auto"/>
              <w:ind w:left="0"/>
              <w:jc w:val="left"/>
            </w:pPr>
            <w:r>
              <w:rPr>
                <w:rFonts w:eastAsia="等线" w:ascii="Arial" w:cs="Arial" w:hAnsi="Arial"/>
                <w:sz w:val="22"/>
              </w:rPr>
              <w:t>2，围绕主要竞争对手，基于我司引导客户需求、功能目标的前提下，模拟招标参数要求，售前输出锐捷竞争分析文件（包含有产品清单、价格、响应策略、模拟打分）确保我司清单价格优势；</w:t>
            </w:r>
          </w:p>
          <w:p>
            <w:pPr>
              <w:spacing w:before="120" w:after="120" w:line="288" w:lineRule="auto"/>
              <w:ind w:left="0"/>
              <w:jc w:val="left"/>
            </w:pPr>
            <w:r>
              <w:rPr>
                <w:rFonts w:eastAsia="等线" w:ascii="Arial" w:cs="Arial" w:hAnsi="Arial"/>
                <w:sz w:val="22"/>
              </w:rPr>
              <w:t>3，售前基于客户核心需求分析、业务目标设计完整解决业务事件、实现业务建设目标的锐捷解决方案，涵盖优势竞争策略、锐捷的UBV价值、实力能力证实的完整解决方案材料，为后续高质量技术交流做好准备。</w:t>
            </w:r>
          </w:p>
          <w:p>
            <w:pPr>
              <w:spacing w:before="120" w:after="120" w:line="288" w:lineRule="auto"/>
              <w:ind w:left="0"/>
              <w:jc w:val="left"/>
            </w:pPr>
            <w:r>
              <w:rPr>
                <w:rFonts w:eastAsia="等线" w:ascii="Arial" w:cs="Arial" w:hAnsi="Arial"/>
                <w:sz w:val="22"/>
              </w:rPr>
              <w:t>完成此上动作需要在CRM上完成清晰留痕，录入拜访动作。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围绕关键业务需求和目标，输出面对主要竞争对手竞争的客户引导策略</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围绕关键业务需求和目标，梳理主要竞争对手劣势点，我司优势，后续推进引导策略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输出优势完整解决方案和清单</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优势竞争分析清单、涵盖锐捷独特UBV、优势点的产品解决方案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锐捷优势点、锐捷优势技术路线、以及独特UBV的精准识别</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5">
              <w:r>
                <w:rPr>
                  <w:rFonts w:eastAsia="等线" w:ascii="Arial" w:cs="Arial" w:hAnsi="Arial"/>
                  <w:color w:val="3370ff"/>
                  <w:sz w:val="22"/>
                </w:rPr>
                <w:t>销售线索跟踪培育指导书 V1.0</w:t>
              </w:r>
            </w:hyperlink>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1，《锐捷网络售前解决方案编写》</w:t>
            </w:r>
          </w:p>
          <w:p>
            <w:pPr>
              <w:spacing w:before="120" w:after="120" w:line="288" w:lineRule="auto"/>
              <w:ind w:left="0"/>
              <w:jc w:val="left"/>
            </w:pPr>
            <w:r>
              <w:rPr>
                <w:rFonts w:eastAsia="等线" w:ascii="Arial" w:cs="Arial" w:hAnsi="Arial"/>
                <w:sz w:val="22"/>
              </w:rPr>
              <w:t>2，参考各行业、产品解决方案竞争分析</w:t>
            </w:r>
          </w:p>
          <w:p>
            <w:pPr>
              <w:spacing w:before="120" w:after="120" w:line="288" w:lineRule="auto"/>
              <w:ind w:left="0"/>
              <w:jc w:val="left"/>
            </w:pPr>
            <w:r>
              <w:rPr>
                <w:rFonts w:eastAsia="等线" w:ascii="Arial" w:cs="Arial" w:hAnsi="Arial"/>
                <w:sz w:val="22"/>
              </w:rPr>
              <w:t>3，《锐捷兵法售前版》</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08</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驱动客户制定有利我司方案框架</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r>
              <w:rPr>
                <w:rFonts w:eastAsia="等线" w:ascii="Arial" w:cs="Arial" w:hAnsi="Arial"/>
                <w:b w:val="true"/>
                <w:sz w:val="22"/>
              </w:rPr>
              <w:t>进行正式11N技术交流、发展客户支持者、落地双轮驱动</w:t>
            </w:r>
          </w:p>
          <w:p>
            <w:pPr>
              <w:spacing w:before="120" w:after="120" w:line="288" w:lineRule="auto"/>
              <w:ind w:left="0"/>
              <w:jc w:val="left"/>
            </w:pPr>
            <w:r>
              <w:rPr>
                <w:rFonts w:eastAsia="等线" w:ascii="Arial" w:cs="Arial" w:hAnsi="Arial"/>
                <w:sz w:val="22"/>
              </w:rPr>
              <w:t>1，在售前协助下，销售通过组织客户关键人进行正式的高质量技术交流，完成和输出基于该客户的现状痛点梳理、深入的需求分析、实现业务建设目标、达成考核任务的我司产品解决方案，重点突出UBV价值，实现业务建设目标和锐捷方案价值认可的传递；</w:t>
            </w:r>
          </w:p>
          <w:p>
            <w:pPr>
              <w:spacing w:before="120" w:after="120" w:line="288" w:lineRule="auto"/>
              <w:ind w:left="0"/>
              <w:jc w:val="left"/>
            </w:pPr>
            <w:r>
              <w:rPr>
                <w:rFonts w:eastAsia="等线" w:ascii="Arial" w:cs="Arial" w:hAnsi="Arial"/>
                <w:sz w:val="22"/>
              </w:rPr>
              <w:t>2，销售识别客户内部关键角色人员，发展至少1个评估者以上角色成为支持者，验证决策者及以上人员，对我司方案和能力的满足度及评价，验证锐捷提供UBV的认可和接受度；</w:t>
            </w:r>
          </w:p>
          <w:p>
            <w:pPr>
              <w:spacing w:before="120" w:after="120" w:line="288" w:lineRule="auto"/>
              <w:ind w:left="0"/>
              <w:jc w:val="left"/>
            </w:pPr>
            <w:r>
              <w:rPr>
                <w:rFonts w:eastAsia="等线" w:ascii="Arial" w:cs="Arial" w:hAnsi="Arial"/>
                <w:sz w:val="22"/>
              </w:rPr>
              <w:t>3，销售联合售前一起给客户决策者以上角色，做我司能力价值的多种方式传递（高层拜访、针对主题高质量交流、市场活动、样板参观、POC测试、专家方案论证），认可我司解决方案实力和能力。</w:t>
            </w:r>
          </w:p>
          <w:p>
            <w:pPr>
              <w:spacing w:before="120" w:after="120" w:line="288" w:lineRule="auto"/>
              <w:ind w:left="0"/>
              <w:jc w:val="left"/>
            </w:pPr>
            <w:r>
              <w:rPr>
                <w:rFonts w:eastAsia="等线" w:ascii="Arial" w:cs="Arial" w:hAnsi="Arial"/>
                <w:sz w:val="22"/>
              </w:rPr>
              <w:t>4，销售联合售前持续跟进关键人对我司方案UBV的价值认可，直至认可让我司完全参与或主要协助客户进行申报立项。</w:t>
            </w:r>
          </w:p>
          <w:p>
            <w:pPr>
              <w:spacing w:before="120" w:after="120" w:line="288" w:lineRule="auto"/>
              <w:ind w:left="0"/>
              <w:jc w:val="left"/>
            </w:pPr>
            <w:r>
              <w:rPr>
                <w:rFonts w:eastAsia="等线" w:ascii="Arial" w:cs="Arial" w:hAnsi="Arial"/>
                <w:sz w:val="22"/>
              </w:rPr>
              <w:t>完成此上动作需要在CRM上清晰留痕，录入拜访动作。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输出优势完整解决方案和清单</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优势竞争分析清单、涵盖锐捷独特UBV、优势点的产品解决方案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围绕关键人进行高质量技术交流，优势价值传递</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关键人满意我司解决方案价值，认可我司是独特UBV，有强烈意愿让我司参与后续方案深入设计</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关键人对UBV认可度、我司方案价值接受度的验证</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6">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1，《高质量技术交流工作指南》</w:t>
            </w:r>
          </w:p>
          <w:p>
            <w:pPr>
              <w:spacing w:before="120" w:after="120" w:line="288" w:lineRule="auto"/>
              <w:ind w:left="0"/>
              <w:jc w:val="left"/>
            </w:pPr>
            <w:r>
              <w:rPr>
                <w:rFonts w:eastAsia="等线" w:ascii="Arial" w:cs="Arial" w:hAnsi="Arial"/>
                <w:sz w:val="22"/>
              </w:rPr>
              <w:t>2，《锐捷兵法》</w:t>
            </w:r>
          </w:p>
          <w:p>
            <w:pPr>
              <w:spacing w:before="120" w:after="120" w:line="288" w:lineRule="auto"/>
              <w:ind w:left="0"/>
              <w:jc w:val="left"/>
            </w:pPr>
            <w:r>
              <w:rPr>
                <w:rFonts w:eastAsia="等线" w:ascii="Arial" w:cs="Arial" w:hAnsi="Arial"/>
                <w:sz w:val="22"/>
              </w:rPr>
              <w:t>3，《大项目分析会》</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3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M10.3.4协同客户完成立项</w:t>
            </w:r>
          </w:p>
          <w:p>
            <w:pPr>
              <w:spacing w:before="120" w:after="120" w:line="288" w:lineRule="auto"/>
              <w:ind w:left="0"/>
              <w:jc w:val="left"/>
            </w:pP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协助客户完成立项</w:t>
            </w:r>
          </w:p>
        </w:tc>
        <w:tc>
          <w:tcPr>
            <w:tcW w:w="4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售前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售前协助客户立项所需的设计方案，如数量点位设计（如无线点位现场踏勘）、方案可行性验证（甚至POC测试）、多家以上方案比对PK、技术路线选择等技术提供关键支撑。</w:t>
            </w:r>
          </w:p>
          <w:p>
            <w:pPr>
              <w:spacing w:before="120" w:after="120" w:line="288" w:lineRule="auto"/>
              <w:ind w:left="0"/>
              <w:jc w:val="left"/>
            </w:pPr>
            <w:r>
              <w:rPr>
                <w:rFonts w:eastAsia="等线" w:ascii="Arial" w:cs="Arial" w:hAnsi="Arial"/>
                <w:sz w:val="22"/>
              </w:rPr>
              <w:t>售前协助解决客户从内部项目立项开始所需要的可行性报告、方案技术论证、立项预算申请等该线索项目立项流程上协助顺利审批，帮助解决客户内外部的立项的困难和障碍，最终完成以锐捷方案进行立项所有流程。</w:t>
            </w:r>
          </w:p>
          <w:p>
            <w:pPr>
              <w:spacing w:before="120" w:after="120" w:line="288" w:lineRule="auto"/>
              <w:ind w:left="0"/>
              <w:jc w:val="left"/>
            </w:pPr>
            <w:r>
              <w:rPr>
                <w:rFonts w:eastAsia="等线" w:ascii="Arial" w:cs="Arial" w:hAnsi="Arial"/>
                <w:sz w:val="22"/>
              </w:rPr>
              <w:t>当客户项目立项不成功，或者由于客户自身原因取消采购意向，销售销售易里面选择对应的原因，关闭线索。</w:t>
            </w:r>
          </w:p>
          <w:p>
            <w:pPr>
              <w:spacing w:before="120" w:after="120" w:line="288" w:lineRule="auto"/>
              <w:ind w:left="0"/>
              <w:jc w:val="left"/>
            </w:pPr>
            <w:r>
              <w:rPr>
                <w:rFonts w:eastAsia="等线" w:ascii="Arial" w:cs="Arial" w:hAnsi="Arial"/>
                <w:b w:val="true"/>
                <w:sz w:val="22"/>
              </w:rPr>
              <w:t>成此上动作需要在CRM上清晰留痕，录入拜访动作。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协助完成客户的立项申报方案、项目申报方案书、预算申报方案</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输出我司协助客户的上报的立项申报方案、项目申报方案书、预算申报方案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立项或申报方案通过</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客户组织上通过了立项申报方案、审批预算</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方案或技术路线论证修改，预算核准</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7">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《锐捷兵法》</w:t>
            </w:r>
          </w:p>
        </w:tc>
      </w:tr>
      <w:tr>
        <w:tc>
          <w:tcPr>
            <w:tcW w:w="240" w:type="dxa"/>
            <w:tcMar>
              <w:top w:type="dxa" w:w="60"/>
              <w:left w:type="dxa" w:w="120"/>
              <w:bottom w:type="dxa" w:w="30"/>
              <w:right w:type="dxa" w:w="120"/>
            </w:tcMar>
          </w:tcPr>
          <w:p>
            <w:pPr>
              <w:spacing w:before="120" w:after="120" w:line="288" w:lineRule="auto"/>
              <w:ind w:left="0"/>
              <w:jc w:val="left"/>
            </w:pP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跟进并协助预算到账</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负责审批预算的部门或领导信息，在合理范围内适时进行沟通。通过电话、邮件等方式定期汇报项目筹备进度和预算需求的紧迫性，询问预算审批的进度。在沟通中，准确传达项目的重要性和预期效益，争取对方的理解与支持。</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立项或申报方案通过</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客户组织上通过了立项申报方案、审批预算</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项目预算确认</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客户项目预算审批通过</w:t>
            </w:r>
          </w:p>
        </w:tc>
        <w:tc>
          <w:tcPr>
            <w:tcW w:w="49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提交进漏斗申请</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根据线索跟踪培育进展，识别最新的MANT状态，识别线索竞争状态，调整线索状态到漏斗内，并提交申请进漏斗。</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立项或申报方案通过、预算下发到位</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客户组织上通过了立项申报方案、审批预算通过，并下发到位</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CRM提交进漏斗</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CRM提交进漏斗，状态为优势以上</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预算下发及时明确</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8">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《锐捷兵法》</w:t>
            </w:r>
          </w:p>
          <w:p>
            <w:pPr>
              <w:spacing w:before="120" w:after="120" w:line="288" w:lineRule="auto"/>
              <w:ind w:left="0"/>
              <w:jc w:val="left"/>
            </w:pPr>
            <w:r>
              <w:rPr>
                <w:rFonts w:eastAsia="等线" w:ascii="Arial" w:cs="Arial" w:hAnsi="Arial"/>
                <w:sz w:val="22"/>
              </w:rPr>
              <w:t>《销售漏斗质量管理标准 V9.0》</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进漏斗审批</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基于最新销售漏斗管理标准规范，严格审查核验漏斗因素，进行通过或拒绝操作。</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CRM提交进漏斗</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CRM提交进漏斗，状态为优势以上</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审批通过，进入漏斗</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严格把控审批进入漏斗</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严格把控审批标准</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19">
              <w:r>
                <w:rPr>
                  <w:rFonts w:eastAsia="等线" w:ascii="Arial" w:cs="Arial" w:hAnsi="Arial"/>
                  <w:color w:val="3370ff"/>
                  <w:sz w:val="22"/>
                </w:rPr>
                <w:t>销售线索跟踪培育指导书 V1.0</w:t>
              </w:r>
            </w:hyperlink>
            <w:r>
              <w:rPr>
                <w:rFonts w:eastAsia="等线" w:ascii="Arial" w:cs="Arial" w:hAnsi="Arial"/>
                <w:sz w:val="22"/>
              </w:rPr>
              <w:t xml:space="preserve"> </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《锐捷兵法》</w:t>
            </w:r>
          </w:p>
          <w:p>
            <w:pPr>
              <w:spacing w:before="120" w:after="120" w:line="288" w:lineRule="auto"/>
              <w:ind w:left="0"/>
              <w:jc w:val="left"/>
            </w:pPr>
            <w:r>
              <w:rPr>
                <w:rFonts w:eastAsia="等线" w:ascii="Arial" w:cs="Arial" w:hAnsi="Arial"/>
                <w:sz w:val="22"/>
              </w:rPr>
              <w:t>《销售漏斗质量管理标准 V9.0》</w:t>
            </w:r>
          </w:p>
        </w:tc>
      </w:tr>
      <w:tr>
        <w:tc>
          <w:tcPr>
            <w:tcW w:w="2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13</w:t>
            </w: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召开区域线索管理会</w:t>
            </w:r>
          </w:p>
        </w:tc>
        <w:tc>
          <w:tcPr>
            <w:tcW w:w="4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p>
            <w:pPr>
              <w:spacing w:before="120" w:after="120" w:line="288" w:lineRule="auto"/>
              <w:ind w:left="0"/>
              <w:jc w:val="center"/>
            </w:pPr>
            <w:r>
              <w:rPr>
                <w:rFonts w:eastAsia="等线" w:ascii="Arial" w:cs="Arial" w:hAnsi="Arial"/>
                <w:sz w:val="22"/>
              </w:rPr>
              <w:t>销售</w:t>
            </w:r>
          </w:p>
          <w:p>
            <w:pPr>
              <w:spacing w:before="120" w:after="120" w:line="288" w:lineRule="auto"/>
              <w:ind w:left="0"/>
              <w:jc w:val="center"/>
            </w:pPr>
            <w:r>
              <w:rPr>
                <w:rFonts w:eastAsia="等线" w:ascii="Arial" w:cs="Arial" w:hAnsi="Arial"/>
                <w:sz w:val="22"/>
              </w:rPr>
              <w:t>售前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销售主管：</w:t>
            </w:r>
          </w:p>
          <w:p>
            <w:pPr>
              <w:spacing w:before="120" w:after="120" w:line="288" w:lineRule="auto"/>
              <w:ind w:left="0"/>
              <w:jc w:val="left"/>
            </w:pPr>
            <w:r>
              <w:rPr>
                <w:rFonts w:eastAsia="等线" w:ascii="Arial" w:cs="Arial" w:hAnsi="Arial"/>
                <w:sz w:val="22"/>
              </w:rPr>
              <w:t>1.基于线索转换率个数，推进优势个数过去1周未有变化异常销售个人识别；</w:t>
            </w:r>
          </w:p>
          <w:p>
            <w:pPr>
              <w:spacing w:before="120" w:after="120" w:line="288" w:lineRule="auto"/>
              <w:ind w:left="0"/>
              <w:jc w:val="left"/>
            </w:pPr>
            <w:r>
              <w:rPr>
                <w:rFonts w:eastAsia="等线" w:ascii="Arial" w:cs="Arial" w:hAnsi="Arial"/>
                <w:sz w:val="22"/>
              </w:rPr>
              <w:t>2.识别区域呆滞线索及转换推进有效经验和问题，推进线索回归到跟踪节点，并且顺利推进的方法指导；</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分发和验证到销售、售前个人的线索</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推进异常的线索销售、售前</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线索跟踪异常的销售个人、异常线索</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20">
              <w:r>
                <w:rPr>
                  <w:rFonts w:eastAsia="等线" w:ascii="Arial" w:cs="Arial" w:hAnsi="Arial"/>
                  <w:color w:val="3370ff"/>
                  <w:sz w:val="22"/>
                </w:rPr>
                <w:t>销售线索跟踪培育指导书 V1.0</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《区域销售线索管理会指导书-V2》</w:t>
            </w:r>
          </w:p>
          <w:p>
            <w:pPr>
              <w:spacing w:before="120" w:after="120" w:line="288" w:lineRule="auto"/>
              <w:ind w:left="0"/>
              <w:jc w:val="left"/>
            </w:pPr>
            <w:hyperlink r:id="rId21">
              <w:r>
                <w:rPr>
                  <w:rFonts w:eastAsia="等线" w:ascii="Arial" w:cs="Arial" w:hAnsi="Arial"/>
                  <w:color w:val="3370ff"/>
                  <w:sz w:val="22"/>
                </w:rPr>
                <w:t>区域销售线索管理会的指导书-V2</w:t>
              </w:r>
            </w:hyperlink>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《锐捷兵法》</w:t>
            </w:r>
          </w:p>
          <w:p>
            <w:pPr>
              <w:spacing w:before="120" w:after="120" w:line="288" w:lineRule="auto"/>
              <w:ind w:left="0"/>
              <w:jc w:val="left"/>
            </w:pPr>
            <w:r>
              <w:rPr>
                <w:rFonts w:eastAsia="等线" w:ascii="Arial" w:cs="Arial" w:hAnsi="Arial"/>
                <w:sz w:val="22"/>
              </w:rPr>
              <w:t>《销售漏斗质量管理标准 V9.0》</w:t>
            </w:r>
          </w:p>
        </w:tc>
      </w:tr>
      <w:tr>
        <w:tc>
          <w:tcPr>
            <w:tcW w:w="240" w:type="dxa"/>
            <w:vMerge w:val="continue"/>
            <w:tcMar>
              <w:top w:type="dxa" w:w="60"/>
              <w:left w:type="dxa" w:w="120"/>
              <w:bottom w:type="dxa" w:w="30"/>
              <w:right w:type="dxa" w:w="120"/>
            </w:tcMar>
          </w:tcPr>
          <w:p>
            <w:pPr>
              <w:spacing w:before="120" w:after="120" w:line="288" w:lineRule="auto"/>
              <w:ind w:left="0"/>
              <w:jc w:val="left"/>
            </w:pPr>
          </w:p>
        </w:tc>
        <w:tc>
          <w:tcPr>
            <w:tcW w:w="375" w:type="dxa"/>
            <w:vMerge w:val="continue"/>
            <w:tcMar>
              <w:top w:type="dxa" w:w="60"/>
              <w:left w:type="dxa" w:w="120"/>
              <w:bottom w:type="dxa" w:w="30"/>
              <w:right w:type="dxa" w:w="120"/>
            </w:tcMar>
          </w:tcPr>
          <w:p>
            <w:pPr>
              <w:spacing w:before="120" w:after="120" w:line="288" w:lineRule="auto"/>
              <w:ind w:left="0"/>
              <w:jc w:val="left"/>
            </w:pPr>
          </w:p>
        </w:tc>
        <w:tc>
          <w:tcPr>
            <w:tcW w:w="315" w:type="dxa"/>
            <w:vMerge w:val="continue"/>
            <w:tcMar>
              <w:top w:type="dxa" w:w="60"/>
              <w:left w:type="dxa" w:w="120"/>
              <w:bottom w:type="dxa" w:w="30"/>
              <w:right w:type="dxa" w:w="120"/>
            </w:tcMar>
          </w:tcPr>
          <w:p>
            <w:pPr>
              <w:spacing w:before="120" w:after="120" w:line="288" w:lineRule="auto"/>
              <w:ind w:left="0"/>
              <w:jc w:val="left"/>
            </w:pPr>
          </w:p>
        </w:tc>
        <w:tc>
          <w:tcPr>
            <w:tcW w:w="435" w:type="dxa"/>
            <w:vMerge w:val="continue"/>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w:t>
              <w:br/>
            </w:r>
            <w:r>
              <w:rPr>
                <w:rFonts w:eastAsia="等线" w:ascii="Arial" w:cs="Arial" w:hAnsi="Arial"/>
                <w:sz w:val="22"/>
              </w:rPr>
              <w:t>1、会前准备；</w:t>
            </w:r>
          </w:p>
          <w:p>
            <w:pPr>
              <w:spacing w:before="120" w:after="120" w:line="288" w:lineRule="auto"/>
              <w:ind w:left="0"/>
              <w:jc w:val="left"/>
            </w:pPr>
            <w:r>
              <w:rPr>
                <w:rFonts w:eastAsia="等线" w:ascii="Arial" w:cs="Arial" w:hAnsi="Arial"/>
                <w:sz w:val="22"/>
              </w:rPr>
              <w:t>2、反馈过去1周销售售前跟踪转化异常的的线索：</w:t>
            </w:r>
          </w:p>
          <w:p>
            <w:pPr>
              <w:spacing w:before="120" w:after="120" w:line="288" w:lineRule="auto"/>
              <w:ind w:left="0"/>
              <w:jc w:val="left"/>
            </w:pPr>
            <w:r>
              <w:rPr>
                <w:rFonts w:eastAsia="等线" w:ascii="Arial" w:cs="Arial" w:hAnsi="Arial"/>
                <w:sz w:val="22"/>
              </w:rPr>
              <w:t>3、识别异常主要问题及原因；</w:t>
            </w:r>
          </w:p>
          <w:p>
            <w:pPr>
              <w:spacing w:before="120" w:after="120" w:line="288" w:lineRule="auto"/>
              <w:ind w:left="0"/>
              <w:jc w:val="left"/>
            </w:pPr>
            <w:r>
              <w:rPr>
                <w:rFonts w:eastAsia="等线" w:ascii="Arial" w:cs="Arial" w:hAnsi="Arial"/>
                <w:sz w:val="22"/>
              </w:rPr>
              <w:t>4、共识本周线索下一步计划；</w:t>
            </w:r>
          </w:p>
          <w:p>
            <w:pPr>
              <w:spacing w:before="120" w:after="120" w:line="288" w:lineRule="auto"/>
              <w:ind w:left="0"/>
              <w:jc w:val="left"/>
            </w:pPr>
            <w:r>
              <w:rPr>
                <w:rFonts w:eastAsia="等线" w:ascii="Arial" w:cs="Arial" w:hAnsi="Arial"/>
                <w:sz w:val="22"/>
              </w:rPr>
              <w:t xml:space="preserve"> 对线索跟进过程中的数据进行分类、整理和分析，形成数据分析放到月度数据分析里面，为销售售前线索跟进指导、要求落实的依据。</w:t>
            </w:r>
          </w:p>
        </w:tc>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分发和验证到区域的销售、售前个人的线索</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待分发验证的线索</w:t>
            </w:r>
          </w:p>
          <w:p>
            <w:pPr>
              <w:spacing w:before="120" w:after="120" w:line="288" w:lineRule="auto"/>
              <w:ind w:left="0"/>
              <w:jc w:val="left"/>
            </w:pPr>
            <w:r>
              <w:rPr>
                <w:rFonts w:eastAsia="等线" w:ascii="Arial" w:cs="Arial" w:hAnsi="Arial"/>
                <w:sz w:val="22"/>
              </w:rPr>
              <w:t>转化率异常的线索</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区域线索报告-销售易透视表：</w:t>
            </w:r>
          </w:p>
          <w:p>
            <w:pPr>
              <w:spacing w:before="120" w:after="120" w:line="288" w:lineRule="auto"/>
              <w:ind w:left="0"/>
              <w:jc w:val="left"/>
            </w:pPr>
            <w:r>
              <w:rPr>
                <w:rFonts w:eastAsia="等线" w:ascii="Arial" w:cs="Arial" w:hAnsi="Arial"/>
                <w:sz w:val="22"/>
              </w:rPr>
              <w:t>销售线索转换率个数</w:t>
            </w:r>
          </w:p>
          <w:p>
            <w:pPr>
              <w:spacing w:before="120" w:after="120" w:line="288" w:lineRule="auto"/>
              <w:ind w:left="0"/>
              <w:jc w:val="left"/>
            </w:pPr>
            <w:r>
              <w:rPr>
                <w:rFonts w:eastAsia="等线" w:ascii="Arial" w:cs="Arial" w:hAnsi="Arial"/>
                <w:sz w:val="22"/>
              </w:rPr>
              <w:t>销售线索转换率优势个数</w:t>
            </w:r>
          </w:p>
          <w:p>
            <w:pPr>
              <w:spacing w:before="120" w:after="120" w:line="288" w:lineRule="auto"/>
              <w:ind w:left="0"/>
              <w:jc w:val="left"/>
            </w:pPr>
            <w:r>
              <w:rPr>
                <w:rFonts w:eastAsia="等线" w:ascii="Arial" w:cs="Arial" w:hAnsi="Arial"/>
                <w:sz w:val="22"/>
              </w:rPr>
              <w:t>销售良性线索</w:t>
            </w:r>
          </w:p>
          <w:p>
            <w:pPr>
              <w:spacing w:before="120" w:after="120" w:line="288" w:lineRule="auto"/>
              <w:ind w:left="0"/>
              <w:jc w:val="left"/>
            </w:pPr>
            <w:r>
              <w:rPr>
                <w:rFonts w:eastAsia="等线" w:ascii="Arial" w:cs="Arial" w:hAnsi="Arial"/>
                <w:sz w:val="22"/>
              </w:rPr>
              <w:t>销售呆滞线索</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《销售售前线索跟踪培育指导书》</w:t>
            </w:r>
          </w:p>
          <w:p>
            <w:pPr>
              <w:spacing w:before="120" w:after="120" w:line="288" w:lineRule="auto"/>
              <w:ind w:left="0"/>
              <w:jc w:val="left"/>
            </w:pPr>
            <w:hyperlink r:id="rId22">
              <w:r>
                <w:rPr>
                  <w:rFonts w:eastAsia="等线" w:ascii="Arial" w:cs="Arial" w:hAnsi="Arial"/>
                  <w:color w:val="3370ff"/>
                  <w:sz w:val="22"/>
                </w:rPr>
                <w:t>销售线索跟踪培育指导书 V1.0</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《区域销售线索管理会指导书-V2》</w:t>
            </w:r>
          </w:p>
          <w:p>
            <w:pPr>
              <w:spacing w:before="120" w:after="120" w:line="288" w:lineRule="auto"/>
              <w:ind w:left="0"/>
              <w:jc w:val="left"/>
            </w:pPr>
            <w:hyperlink r:id="rId23">
              <w:r>
                <w:rPr>
                  <w:rFonts w:eastAsia="等线" w:ascii="Arial" w:cs="Arial" w:hAnsi="Arial"/>
                  <w:color w:val="3370ff"/>
                  <w:sz w:val="22"/>
                </w:rPr>
                <w:t>区域销售线索管理会的指导书-V2</w:t>
              </w:r>
            </w:hyperlink>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《锐捷兵法》</w:t>
            </w:r>
          </w:p>
          <w:p>
            <w:pPr>
              <w:spacing w:before="120" w:after="120" w:line="288" w:lineRule="auto"/>
              <w:ind w:left="0"/>
              <w:jc w:val="left"/>
            </w:pPr>
            <w:r>
              <w:rPr>
                <w:rFonts w:eastAsia="等线" w:ascii="Arial" w:cs="Arial" w:hAnsi="Arial"/>
                <w:sz w:val="22"/>
              </w:rPr>
              <w:t>《销售漏斗质量管理标准 V9.0》</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5.3.2 </w:t>
      </w:r>
      <w:r>
        <w:rPr>
          <w:rFonts w:eastAsia="等线" w:ascii="Arial" w:cs="Arial" w:hAnsi="Arial"/>
          <w:b w:val="true"/>
          <w:sz w:val="30"/>
        </w:rPr>
        <w:t>主要角色/岗位活动说明</w:t>
      </w:r>
      <w:bookmarkEnd w:id="14"/>
    </w:p>
    <w:p>
      <w:pPr>
        <w:pStyle w:val="4"/>
        <w:spacing w:before="260" w:after="120" w:line="288" w:lineRule="auto"/>
        <w:ind w:left="0"/>
        <w:jc w:val="left"/>
        <w:outlineLvl w:val="3"/>
      </w:pPr>
      <w:bookmarkStart w:name="heading_15" w:id="15"/>
      <w:r>
        <w:rPr>
          <w:rFonts w:eastAsia="等线" w:ascii="Arial" w:cs="Arial" w:hAnsi="Arial"/>
          <w:b w:val="true"/>
          <w:color w:val="245bdb"/>
          <w:sz w:val="28"/>
        </w:rPr>
        <w:t xml:space="preserve">5.3.2.1 </w:t>
      </w:r>
      <w:r>
        <w:rPr>
          <w:rFonts w:eastAsia="等线" w:ascii="Arial" w:cs="Arial" w:hAnsi="Arial"/>
          <w:b w:val="true"/>
          <w:sz w:val="28"/>
        </w:rPr>
        <w:t>销售（行业经理/区域销售） 活动说明</w:t>
      </w:r>
      <w:bookmarkEnd w:id="15"/>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6" w:id="16"/>
      <w:bookmarkEnd w:id="16"/>
    </w:p>
    <w:p>
      <w:pPr>
        <w:pStyle w:val="4"/>
        <w:spacing w:before="260" w:after="120" w:line="288" w:lineRule="auto"/>
        <w:ind w:left="0"/>
        <w:jc w:val="left"/>
        <w:outlineLvl w:val="3"/>
      </w:pPr>
      <w:bookmarkStart w:name="heading_17" w:id="17"/>
      <w:r>
        <w:rPr>
          <w:rFonts w:eastAsia="等线" w:ascii="Arial" w:cs="Arial" w:hAnsi="Arial"/>
          <w:b w:val="true"/>
          <w:color w:val="245bdb"/>
          <w:sz w:val="28"/>
        </w:rPr>
        <w:t xml:space="preserve">5.3.2.2 </w:t>
      </w:r>
      <w:r>
        <w:rPr>
          <w:rFonts w:eastAsia="等线" w:ascii="Arial" w:cs="Arial" w:hAnsi="Arial"/>
          <w:b w:val="true"/>
          <w:sz w:val="28"/>
        </w:rPr>
        <w:t>售前（区域售前/行业售前）活动说明</w:t>
      </w:r>
      <w:bookmarkEnd w:id="17"/>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bookmarkEnd w:id="18"/>
    </w:p>
    <w:p>
      <w:pPr>
        <w:pStyle w:val="4"/>
        <w:spacing w:before="260" w:after="120" w:line="288" w:lineRule="auto"/>
        <w:ind w:left="0"/>
        <w:jc w:val="left"/>
        <w:outlineLvl w:val="3"/>
      </w:pPr>
      <w:bookmarkStart w:name="heading_19" w:id="19"/>
      <w:r>
        <w:rPr>
          <w:rFonts w:eastAsia="等线" w:ascii="Arial" w:cs="Arial" w:hAnsi="Arial"/>
          <w:b w:val="true"/>
          <w:color w:val="245bdb"/>
          <w:sz w:val="28"/>
        </w:rPr>
        <w:t xml:space="preserve">5.3.2.3 </w:t>
      </w:r>
      <w:r>
        <w:rPr>
          <w:rFonts w:eastAsia="等线" w:ascii="Arial" w:cs="Arial" w:hAnsi="Arial"/>
          <w:b w:val="true"/>
          <w:sz w:val="28"/>
        </w:rPr>
        <w:t>销售主管（区域经理）活动说明</w:t>
      </w:r>
      <w:bookmarkEnd w:id="19"/>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4"/>
        <w:spacing w:before="260" w:after="120" w:line="288" w:lineRule="auto"/>
        <w:ind w:left="0"/>
        <w:jc w:val="left"/>
        <w:outlineLvl w:val="3"/>
      </w:pPr>
      <w:bookmarkStart w:name="heading_20" w:id="20"/>
      <w:r>
        <w:rPr>
          <w:rFonts w:eastAsia="等线" w:ascii="Arial" w:cs="Arial" w:hAnsi="Arial"/>
          <w:b w:val="true"/>
          <w:color w:val="245bdb"/>
          <w:sz w:val="28"/>
        </w:rPr>
        <w:t xml:space="preserve">5.3.2.4 </w:t>
      </w:r>
      <w:r>
        <w:rPr>
          <w:rFonts w:eastAsia="等线" w:ascii="Arial" w:cs="Arial" w:hAnsi="Arial"/>
          <w:b w:val="true"/>
          <w:sz w:val="28"/>
        </w:rPr>
        <w:t>销管BP 活动说明</w:t>
      </w:r>
      <w:bookmarkEnd w:id="20"/>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2"/>
        <w:spacing w:before="320" w:after="120" w:line="288" w:lineRule="auto"/>
        <w:ind w:left="0"/>
        <w:jc w:val="left"/>
        <w:outlineLvl w:val="1"/>
      </w:pPr>
      <w:bookmarkStart w:name="heading_21" w:id="21"/>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1110"/>
        <w:gridCol w:w="1380"/>
        <w:gridCol w:w="1380"/>
        <w:gridCol w:w="2535"/>
        <w:gridCol w:w="960"/>
      </w:tblGrid>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5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协同客户立项</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进漏斗审批</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通过对线索进漏斗的审批，确保进漏斗商机质量，能够有效成交。</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判断标准：MANT 全部清晰，信息真实有效。</w:t>
            </w:r>
          </w:p>
          <w:p>
            <w:pPr>
              <w:spacing w:before="120" w:after="120" w:line="288" w:lineRule="auto"/>
              <w:ind w:left="0"/>
              <w:jc w:val="left"/>
            </w:pPr>
            <w:r>
              <w:rPr>
                <w:rFonts w:eastAsia="等线" w:ascii="Arial" w:cs="Arial" w:hAnsi="Arial"/>
                <w:sz w:val="22"/>
              </w:rPr>
              <w:t>《销售漏斗质量管理标准 V9.0》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已有</w:t>
            </w:r>
          </w:p>
        </w:tc>
      </w:tr>
    </w:tbl>
    <w:p>
      <w:pPr>
        <w:pStyle w:val="1"/>
        <w:spacing w:before="380" w:after="140" w:line="288" w:lineRule="auto"/>
        <w:ind w:left="0"/>
        <w:jc w:val="left"/>
        <w:outlineLvl w:val="0"/>
      </w:pPr>
      <w:bookmarkStart w:name="heading_22" w:id="22"/>
      <w:bookmarkEnd w:id="22"/>
    </w:p>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3"/>
    </w:p>
    <w:p>
      <w:pPr>
        <w:spacing w:before="120" w:after="120" w:line="288" w:lineRule="auto"/>
        <w:ind w:left="0" w:firstLine="420"/>
        <w:jc w:val="left"/>
      </w:pPr>
      <w:r>
        <w:rPr>
          <w:rFonts w:eastAsia="等线" w:ascii="Arial" w:cs="Arial" w:hAnsi="Arial"/>
          <w:sz w:val="22"/>
        </w:rPr>
        <w:t>本文档的解释权归属流程管理部。</w:t>
      </w:r>
    </w:p>
    <w:p>
      <w:pPr>
        <w:spacing w:before="120" w:after="120" w:line="288" w:lineRule="auto"/>
        <w:ind w:left="0" w:firstLine="420"/>
        <w:jc w:val="left"/>
      </w:pPr>
      <w:r>
        <w:rPr>
          <w:rFonts w:eastAsia="等线" w:ascii="Arial" w:cs="Arial" w:hAnsi="Arial"/>
          <w:sz w:val="22"/>
        </w:rPr>
        <w:t>本文档自发布之日起生效。</w:t>
      </w:r>
    </w:p>
    <w:p>
      <w:pPr>
        <w:spacing w:before="120" w:after="120" w:line="288" w:lineRule="auto"/>
        <w:ind w:left="0" w:firstLine="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9683">
    <w:lvl>
      <w:numFmt w:val="bullet"/>
      <w:suff w:val="tab"/>
      <w:lvlText w:val="•"/>
      <w:rPr>
        <w:color w:val="3370ff"/>
      </w:rPr>
    </w:lvl>
  </w:abstractNum>
  <w:abstractNum w:abstractNumId="89684">
    <w:lvl>
      <w:numFmt w:val="bullet"/>
      <w:suff w:val="tab"/>
      <w:lvlText w:val="•"/>
      <w:rPr>
        <w:color w:val="3370ff"/>
      </w:rPr>
    </w:lvl>
  </w:abstractNum>
  <w:num w:numId="1">
    <w:abstractNumId w:val="89683"/>
  </w:num>
  <w:num w:numId="2">
    <w:abstractNumId w:val="896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I2fnw3o7Vifga5k2BhBcPIDzn9f" TargetMode="External" Type="http://schemas.openxmlformats.org/officeDocument/2006/relationships/hyperlink"/><Relationship Id="rId11" Target="https://ruijie.feishu.cn/wiki/I2fnw3o7Vifga5k2BhBcPIDzn9f" TargetMode="External" Type="http://schemas.openxmlformats.org/officeDocument/2006/relationships/hyperlink"/><Relationship Id="rId12" Target="https://ruijie.feishu.cn/wiki/IMdTwL8HEiZy9FkYxAvcVsHdnfe" TargetMode="External" Type="http://schemas.openxmlformats.org/officeDocument/2006/relationships/hyperlink"/><Relationship Id="rId13" Target="https://ruijie.feishu.cn/wiki/IMdTwL8HEiZy9FkYxAvcVsHdnfe" TargetMode="External" Type="http://schemas.openxmlformats.org/officeDocument/2006/relationships/hyperlink"/><Relationship Id="rId14" Target="https://ruijie.feishu.cn/wiki/IMdTwL8HEiZy9FkYxAvcVsHdnfe" TargetMode="External" Type="http://schemas.openxmlformats.org/officeDocument/2006/relationships/hyperlink"/><Relationship Id="rId15" Target="https://ruijie.feishu.cn/wiki/I2fnw3o7Vifga5k2BhBcPIDzn9f" TargetMode="External" Type="http://schemas.openxmlformats.org/officeDocument/2006/relationships/hyperlink"/><Relationship Id="rId16" Target="https://ruijie.feishu.cn/wiki/I2fnw3o7Vifga5k2BhBcPIDzn9f" TargetMode="External" Type="http://schemas.openxmlformats.org/officeDocument/2006/relationships/hyperlink"/><Relationship Id="rId17" Target="https://ruijie.feishu.cn/wiki/I2fnw3o7Vifga5k2BhBcPIDzn9f" TargetMode="External" Type="http://schemas.openxmlformats.org/officeDocument/2006/relationships/hyperlink"/><Relationship Id="rId18" Target="https://ruijie.feishu.cn/wiki/I2fnw3o7Vifga5k2BhBcPIDzn9f" TargetMode="External" Type="http://schemas.openxmlformats.org/officeDocument/2006/relationships/hyperlink"/><Relationship Id="rId19" Target="https://ruijie.feishu.cn/wiki/I2fnw3o7Vifga5k2BhBcPIDzn9f" TargetMode="External" Type="http://schemas.openxmlformats.org/officeDocument/2006/relationships/hyperlink"/><Relationship Id="rId2" Target="styles.xml" Type="http://schemas.openxmlformats.org/officeDocument/2006/relationships/styles"/><Relationship Id="rId20" Target="https://ruijie.feishu.cn/wiki/I2fnw3o7Vifga5k2BhBcPIDzn9f" TargetMode="External" Type="http://schemas.openxmlformats.org/officeDocument/2006/relationships/hyperlink"/><Relationship Id="rId21" Target="https://ruijie.feishu.cn/wiki/LCELw8H0qiGv2Hkd3Pkc3ASVnic" TargetMode="External" Type="http://schemas.openxmlformats.org/officeDocument/2006/relationships/hyperlink"/><Relationship Id="rId22" Target="https://ruijie.feishu.cn/wiki/I2fnw3o7Vifga5k2BhBcPIDzn9f" TargetMode="External" Type="http://schemas.openxmlformats.org/officeDocument/2006/relationships/hyperlink"/><Relationship Id="rId23" Target="https://ruijie.feishu.cn/wiki/LCELw8H0qiGv2Hkd3Pkc3ASVnic" TargetMode="External" Type="http://schemas.openxmlformats.org/officeDocument/2006/relationships/hyperlink"/><Relationship Id="rId24"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wiki/IMdTwL8HEiZy9FkYxAvcVsHdnfe"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2025-05-14T01:46:49Z</dcterms:created>
  <dc:creator>Apache POI</dc:creator>
</cp:coreProperties>
</file>