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MTCV-MM-M6.3 管理对外战略合作流程-V0.9</w:t>
      </w:r>
    </w:p>
    <w:p>
      <w:pPr>
        <w:spacing w:before="120" w:after="120" w:line="288" w:lineRule="auto"/>
        <w:ind w:left="0" w:firstLine="0"/>
        <w:jc w:val="left"/>
      </w:pPr>
      <w:r>
        <w:rPr>
          <w:rFonts w:eastAsia="等线" w:ascii="Arial" w:cs="Arial" w:hAnsi="Arial"/>
          <w:b w:val="true"/>
          <w:sz w:val="22"/>
        </w:rPr>
        <w:t>MTCV-MM-M6.3 管理对外战略合作流程-V0.9</w:t>
      </w:r>
    </w:p>
    <w:p>
      <w:pPr>
        <w:spacing w:before="120" w:after="120" w:line="288" w:lineRule="auto"/>
        <w:ind w:left="0" w:firstLine="0"/>
        <w:jc w:val="right"/>
      </w:pPr>
      <w:r>
        <w:rPr>
          <w:rFonts w:eastAsia="等线" w:ascii="Arial" w:cs="Arial" w:hAnsi="Arial"/>
          <w:sz w:val="22"/>
        </w:rPr>
        <w:t>密级：B</w:t>
      </w:r>
    </w:p>
    <w:p>
      <w:pPr>
        <w:pStyle w:val="1"/>
        <w:spacing w:before="380" w:after="140" w:line="288" w:lineRule="auto"/>
        <w:ind w:left="0"/>
        <w:jc w:val="center"/>
        <w:outlineLvl w:val="0"/>
      </w:pPr>
      <w:bookmarkStart w:name="heading_0" w:id="0"/>
      <w:r>
        <w:rPr>
          <w:rFonts w:eastAsia="等线" w:ascii="Arial" w:cs="Arial" w:hAnsi="Arial"/>
          <w:b w:val="true"/>
          <w:sz w:val="36"/>
        </w:rPr>
        <w:t xml:space="preserve"> </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M6.3管理对外战略合作流程</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1635"/>
        <w:gridCol w:w="555"/>
        <w:gridCol w:w="1530"/>
        <w:gridCol w:w="1530"/>
        <w:gridCol w:w="1380"/>
      </w:tblGrid>
      <w:tr>
        <w:tc>
          <w:tcPr>
            <w:tcW w:w="53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文件名称：管理对外战略合作流程说明文件</w:t>
            </w:r>
          </w:p>
        </w:tc>
        <w:tc>
          <w:tcPr>
            <w:tcW w:w="163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530" w:type="dxa"/>
            <w:hMerge w:val="continue"/>
            <w:tcMar>
              <w:top w:type="dxa" w:w="60"/>
              <w:left w:type="dxa" w:w="120"/>
              <w:bottom w:type="dxa" w:w="30"/>
              <w:right w:type="dxa" w:w="120"/>
            </w:tcMar>
          </w:tcPr>
          <w:p>
            <w:pPr>
              <w:spacing w:before="120" w:after="120" w:line="288" w:lineRule="auto"/>
              <w:ind w:left="0"/>
              <w:jc w:val="left"/>
            </w:pP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68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文件编号：MTCV-MM-M6.3-P-管理对外战略合作流程-V0.9</w:t>
            </w:r>
          </w:p>
        </w:tc>
        <w:tc>
          <w:tcPr>
            <w:tcW w:w="163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530" w:type="dxa"/>
            <w:hMerge w:val="continue"/>
            <w:tcMar>
              <w:top w:type="dxa" w:w="60"/>
              <w:left w:type="dxa" w:w="120"/>
              <w:bottom w:type="dxa" w:w="30"/>
              <w:right w:type="dxa" w:w="120"/>
            </w:tcMar>
          </w:tcPr>
          <w:p>
            <w:pPr>
              <w:spacing w:before="120" w:after="120" w:line="288" w:lineRule="auto"/>
              <w:ind w:left="0"/>
              <w:jc w:val="left"/>
            </w:pPr>
          </w:p>
        </w:tc>
        <w:tc>
          <w:tcPr>
            <w:tcW w:w="2910"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生效日期：2025/03/31</w:t>
            </w: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PO：马雪峰</w:t>
            </w:r>
          </w:p>
        </w:tc>
        <w:tc>
          <w:tcPr>
            <w:tcW w:w="5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PO：徐正龙</w:t>
            </w:r>
          </w:p>
        </w:tc>
        <w:tc>
          <w:tcPr>
            <w:tcW w:w="555" w:type="dxa"/>
            <w:hMerge w:val="continue"/>
            <w:tcMar>
              <w:top w:type="dxa" w:w="60"/>
              <w:left w:type="dxa" w:w="120"/>
              <w:bottom w:type="dxa" w:w="30"/>
              <w:right w:type="dxa" w:w="120"/>
            </w:tcMar>
          </w:tcPr>
          <w:p>
            <w:pPr>
              <w:spacing w:before="120" w:after="120" w:line="288" w:lineRule="auto"/>
              <w:ind w:left="0"/>
              <w:jc w:val="left"/>
            </w:pPr>
          </w:p>
        </w:tc>
        <w:tc>
          <w:tcPr>
            <w:tcW w:w="4440"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流程组团队成员：薛伟文、陈华彬、陈育锋</w:t>
            </w:r>
          </w:p>
        </w:tc>
        <w:tc>
          <w:tcPr>
            <w:tcW w:w="1530" w:type="dxa"/>
            <w:hMerge w:val="continue"/>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63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530" w:type="dxa"/>
            <w:hMerge w:val="continue"/>
            <w:tcMar>
              <w:top w:type="dxa" w:w="60"/>
              <w:left w:type="dxa" w:w="120"/>
              <w:bottom w:type="dxa" w:w="30"/>
              <w:right w:type="dxa" w:w="120"/>
            </w:tcMar>
          </w:tcPr>
          <w:p>
            <w:pPr>
              <w:spacing w:before="120" w:after="120" w:line="288" w:lineRule="auto"/>
              <w:ind w:left="0"/>
              <w:jc w:val="left"/>
            </w:pPr>
          </w:p>
        </w:tc>
        <w:tc>
          <w:tcPr>
            <w:tcW w:w="153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V0.9</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流程PO：徐正龙</w:t>
            </w:r>
          </w:p>
          <w:p>
            <w:pPr>
              <w:spacing w:before="120" w:after="120" w:line="288" w:lineRule="auto"/>
              <w:ind w:left="0"/>
              <w:jc w:val="left"/>
            </w:pPr>
            <w:r>
              <w:rPr>
                <w:rFonts w:eastAsia="等线" w:ascii="Arial" w:cs="Arial" w:hAnsi="Arial"/>
                <w:sz w:val="22"/>
              </w:rPr>
              <w:t xml:space="preserve">       流程PC：韩  闯</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马雪峰</w:t>
            </w:r>
          </w:p>
        </w:tc>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EBG流程执委会</w:t>
            </w:r>
          </w:p>
        </w:tc>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2025-3-31</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首次发布</w:t>
            </w:r>
          </w:p>
        </w:tc>
      </w:tr>
    </w:tbl>
    <w:p>
      <w:pPr>
        <w:pStyle w:val="1"/>
        <w:spacing w:before="380" w:after="140" w:line="288" w:lineRule="auto"/>
        <w:ind w:left="0"/>
        <w:jc w:val="left"/>
        <w:outlineLvl w:val="0"/>
      </w:pPr>
      <w:bookmarkStart w:name="heading_2" w:id="2"/>
      <w:r>
        <w:rPr>
          <w:rFonts w:eastAsia="等线" w:ascii="Arial" w:cs="Arial" w:hAnsi="Arial"/>
          <w:b w:val="true"/>
          <w:color w:val="245bdb"/>
          <w:sz w:val="36"/>
        </w:rPr>
        <w:t xml:space="preserve">1. </w:t>
      </w:r>
      <w:r>
        <w:rPr>
          <w:rFonts w:eastAsia="等线" w:ascii="Arial" w:cs="Arial" w:hAnsi="Arial"/>
          <w:b w:val="true"/>
          <w:sz w:val="36"/>
        </w:rPr>
        <w:t>目的</w:t>
      </w:r>
      <w:bookmarkEnd w:id="2"/>
    </w:p>
    <w:p>
      <w:pPr>
        <w:spacing w:before="120" w:after="120" w:line="288" w:lineRule="auto"/>
        <w:ind w:left="0" w:firstLine="420"/>
        <w:jc w:val="left"/>
      </w:pPr>
      <w:r>
        <w:rPr>
          <w:rFonts w:eastAsia="等线" w:ascii="Arial" w:cs="Arial" w:hAnsi="Arial"/>
          <w:sz w:val="22"/>
        </w:rPr>
        <w:t>本流程专注于战略合作伙伴从规划、选择、建立合作到执行落地的全生命周期管理，通过建立完善的战略合作伙伴筛选和匹配方法，完善战略合作伙伴的沟通和合作推进机制，实现战略合作可执行、可落地、可持续，并且能够有相应的资源提供全流程的有效支撑和保障。</w:t>
      </w:r>
    </w:p>
    <w:p>
      <w:pPr>
        <w:pStyle w:val="1"/>
        <w:spacing w:before="380" w:after="140" w:line="288" w:lineRule="auto"/>
        <w:ind w:left="0"/>
        <w:jc w:val="left"/>
        <w:outlineLvl w:val="0"/>
      </w:pPr>
      <w:bookmarkStart w:name="heading_3" w:id="3"/>
      <w:r>
        <w:rPr>
          <w:rFonts w:eastAsia="等线" w:ascii="Arial" w:cs="Arial" w:hAnsi="Arial"/>
          <w:b w:val="true"/>
          <w:color w:val="245bdb"/>
          <w:sz w:val="36"/>
        </w:rPr>
        <w:t xml:space="preserve">2. </w:t>
      </w:r>
      <w:r>
        <w:rPr>
          <w:rFonts w:eastAsia="等线" w:ascii="Arial" w:cs="Arial" w:hAnsi="Arial"/>
          <w:b w:val="true"/>
          <w:sz w:val="36"/>
        </w:rPr>
        <w:t>适用范围</w:t>
      </w:r>
      <w:bookmarkEnd w:id="3"/>
    </w:p>
    <w:p>
      <w:pPr>
        <w:spacing w:before="120" w:after="120" w:line="288" w:lineRule="auto"/>
        <w:ind w:left="0" w:firstLine="420"/>
        <w:jc w:val="left"/>
      </w:pPr>
      <w:r>
        <w:rPr>
          <w:rFonts w:eastAsia="等线" w:ascii="Arial" w:cs="Arial" w:hAnsi="Arial"/>
          <w:sz w:val="22"/>
        </w:rPr>
        <w:t>本流程适用于 EBG 所有需要和第三方合作伙伴开展合作的部门。</w:t>
      </w:r>
    </w:p>
    <w:p>
      <w:pPr>
        <w:pStyle w:val="1"/>
        <w:spacing w:before="380" w:after="140" w:line="288" w:lineRule="auto"/>
        <w:ind w:left="0"/>
        <w:jc w:val="left"/>
        <w:outlineLvl w:val="0"/>
      </w:pPr>
      <w:bookmarkStart w:name="heading_4" w:id="4"/>
      <w:r>
        <w:rPr>
          <w:rFonts w:eastAsia="等线" w:ascii="Arial" w:cs="Arial" w:hAnsi="Arial"/>
          <w:b w:val="true"/>
          <w:color w:val="245bdb"/>
          <w:sz w:val="36"/>
        </w:rPr>
        <w:t xml:space="preserve">3. </w:t>
      </w:r>
      <w:r>
        <w:rPr>
          <w:rFonts w:eastAsia="等线" w:ascii="Arial" w:cs="Arial" w:hAnsi="Arial"/>
          <w:b w:val="true"/>
          <w:sz w:val="36"/>
        </w:rPr>
        <w:t>名词解释</w:t>
      </w:r>
      <w:bookmarkEnd w:id="4"/>
    </w:p>
    <w:p>
      <w:pPr>
        <w:spacing w:before="120" w:after="120" w:line="288" w:lineRule="auto"/>
        <w:ind w:left="0" w:firstLine="420"/>
        <w:jc w:val="left"/>
      </w:pPr>
      <w:r>
        <w:rPr>
          <w:rFonts w:eastAsia="等线" w:ascii="Arial" w:cs="Arial" w:hAnsi="Arial"/>
          <w:sz w:val="22"/>
        </w:rPr>
        <w:t>无</w:t>
      </w:r>
    </w:p>
    <w:p>
      <w:pPr>
        <w:pStyle w:val="1"/>
        <w:spacing w:before="380" w:after="140" w:line="288" w:lineRule="auto"/>
        <w:ind w:left="0"/>
        <w:jc w:val="left"/>
        <w:outlineLvl w:val="0"/>
      </w:pPr>
      <w:bookmarkStart w:name="heading_5" w:id="5"/>
      <w:r>
        <w:rPr>
          <w:rFonts w:eastAsia="等线" w:ascii="Arial" w:cs="Arial" w:hAnsi="Arial"/>
          <w:b w:val="true"/>
          <w:color w:val="245bdb"/>
          <w:sz w:val="36"/>
        </w:rPr>
        <w:t xml:space="preserve">4. </w:t>
      </w:r>
      <w:r>
        <w:rPr>
          <w:rFonts w:eastAsia="等线" w:ascii="Arial" w:cs="Arial" w:hAnsi="Arial"/>
          <w:b w:val="true"/>
          <w:sz w:val="36"/>
        </w:rPr>
        <w:t>职责分工</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1350"/>
        <w:gridCol w:w="4755"/>
      </w:tblGrid>
      <w:tr>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角色</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描述</w:t>
            </w:r>
          </w:p>
        </w:tc>
        <w:tc>
          <w:tcPr>
            <w:tcW w:w="47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战略合作执行代表</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行业拓展经理</w:t>
            </w:r>
          </w:p>
          <w:p>
            <w:pPr>
              <w:spacing w:before="120" w:after="120" w:line="288" w:lineRule="auto"/>
              <w:ind w:left="0"/>
              <w:jc w:val="left"/>
            </w:pPr>
            <w:r>
              <w:rPr>
                <w:rFonts w:eastAsia="等线" w:ascii="Arial" w:cs="Arial" w:hAnsi="Arial"/>
                <w:sz w:val="22"/>
              </w:rPr>
              <w:t>区域行业经理</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作为战略合作从洽谈到项目执行的项目经理，负责组织战略合作双方的洽谈、资源协调、战略签约以及签约后的日常事项运转（联合营销策划、用户资源整合、项目推进管理等）</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战略合作支撑代表</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解决方案经理</w:t>
            </w:r>
          </w:p>
          <w:p>
            <w:pPr>
              <w:spacing w:before="120" w:after="120" w:line="288" w:lineRule="auto"/>
              <w:ind w:left="0"/>
              <w:jc w:val="left"/>
            </w:pPr>
            <w:r>
              <w:rPr>
                <w:rFonts w:eastAsia="等线" w:ascii="Arial" w:cs="Arial" w:hAnsi="Arial"/>
                <w:sz w:val="22"/>
              </w:rPr>
              <w:t>产品经理</w:t>
            </w:r>
          </w:p>
          <w:p>
            <w:pPr>
              <w:spacing w:before="120" w:after="120" w:line="288" w:lineRule="auto"/>
              <w:ind w:left="0"/>
              <w:jc w:val="left"/>
            </w:pPr>
            <w:r>
              <w:rPr>
                <w:rFonts w:eastAsia="等线" w:ascii="Arial" w:cs="Arial" w:hAnsi="Arial"/>
                <w:sz w:val="22"/>
              </w:rPr>
              <w:t>售后经理</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作为战略合作的专业支持小组，解决战略合作推进过程中的技术方案对接、联合产品/方案开发、解决方案能力联调联测等产品方案技术问题，为战略合作的达成提供产品方案能力的有力支撑</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战略合作决策代表</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系统部总经理</w:t>
            </w:r>
          </w:p>
          <w:p>
            <w:pPr>
              <w:spacing w:before="120" w:after="120" w:line="288" w:lineRule="auto"/>
              <w:ind w:left="0"/>
              <w:jc w:val="left"/>
            </w:pPr>
            <w:r>
              <w:rPr>
                <w:rFonts w:eastAsia="等线" w:ascii="Arial" w:cs="Arial" w:hAnsi="Arial"/>
                <w:sz w:val="22"/>
              </w:rPr>
              <w:t>EBG 总经理</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作为战略合作方向制定、战略合作审批、战略合作重大争议解决的决策人，</w:t>
            </w:r>
          </w:p>
          <w:p>
            <w:pPr>
              <w:numPr>
                <w:numId w:val="1"/>
              </w:numPr>
              <w:spacing w:before="120" w:after="120" w:line="288" w:lineRule="auto"/>
              <w:ind w:left="0"/>
              <w:jc w:val="left"/>
            </w:pPr>
            <w:r>
              <w:rPr>
                <w:rFonts w:eastAsia="等线" w:ascii="Arial" w:cs="Arial" w:hAnsi="Arial"/>
                <w:sz w:val="22"/>
              </w:rPr>
              <w:t>顶层设计战略合作方向，审批合作框架与关键条款</w:t>
            </w:r>
          </w:p>
          <w:p>
            <w:pPr>
              <w:numPr>
                <w:numId w:val="2"/>
              </w:numPr>
              <w:spacing w:before="120" w:after="120" w:line="288" w:lineRule="auto"/>
              <w:ind w:left="0"/>
              <w:jc w:val="left"/>
            </w:pPr>
            <w:r>
              <w:rPr>
                <w:rFonts w:eastAsia="等线" w:ascii="Arial" w:cs="Arial" w:hAnsi="Arial"/>
                <w:sz w:val="22"/>
              </w:rPr>
              <w:t>解决重大争议（如利益分配、优先级冲突）</w:t>
            </w:r>
          </w:p>
          <w:p>
            <w:pPr>
              <w:numPr>
                <w:numId w:val="3"/>
              </w:numPr>
              <w:spacing w:before="120" w:after="120" w:line="288" w:lineRule="auto"/>
              <w:ind w:left="0"/>
              <w:jc w:val="left"/>
            </w:pPr>
            <w:r>
              <w:rPr>
                <w:rFonts w:eastAsia="等线" w:ascii="Arial" w:cs="Arial" w:hAnsi="Arial"/>
                <w:sz w:val="22"/>
              </w:rPr>
              <w:t>定期高层互访，维持战略互信</w:t>
            </w:r>
          </w:p>
          <w:p>
            <w:pPr>
              <w:numPr>
                <w:numId w:val="4"/>
              </w:numPr>
              <w:spacing w:before="120" w:after="120" w:line="288" w:lineRule="auto"/>
              <w:ind w:left="0"/>
              <w:jc w:val="left"/>
            </w:pPr>
            <w:r>
              <w:rPr>
                <w:rFonts w:eastAsia="等线" w:ascii="Arial" w:cs="Arial" w:hAnsi="Arial"/>
                <w:sz w:val="22"/>
              </w:rPr>
              <w:t>公司资源审批与战略合作调配</w:t>
            </w:r>
          </w:p>
        </w:tc>
      </w:tr>
    </w:tbl>
    <w:p>
      <w:pPr>
        <w:spacing w:before="120" w:after="120" w:line="288" w:lineRule="auto"/>
        <w:ind w:left="0" w:firstLine="0"/>
        <w:jc w:val="left"/>
      </w:pPr>
    </w:p>
    <w:p>
      <w:pPr>
        <w:pStyle w:val="1"/>
        <w:spacing w:before="380" w:after="140" w:line="288" w:lineRule="auto"/>
        <w:ind w:left="0"/>
        <w:jc w:val="left"/>
        <w:outlineLvl w:val="0"/>
      </w:pPr>
      <w:bookmarkStart w:name="heading_6" w:id="6"/>
      <w:r>
        <w:rPr>
          <w:rFonts w:eastAsia="等线" w:ascii="Arial" w:cs="Arial" w:hAnsi="Arial"/>
          <w:b w:val="true"/>
          <w:color w:val="245bdb"/>
          <w:sz w:val="36"/>
        </w:rPr>
        <w:t xml:space="preserve">5. </w:t>
      </w:r>
      <w:r>
        <w:rPr>
          <w:rFonts w:eastAsia="等线" w:ascii="Arial" w:cs="Arial" w:hAnsi="Arial"/>
          <w:b w:val="true"/>
          <w:sz w:val="36"/>
        </w:rPr>
        <w:t>流程文件说明</w:t>
      </w:r>
      <w:bookmarkEnd w:id="6"/>
    </w:p>
    <w:p>
      <w:pPr>
        <w:pStyle w:val="2"/>
        <w:spacing w:before="320" w:after="120" w:line="288" w:lineRule="auto"/>
        <w:ind w:left="0"/>
        <w:jc w:val="left"/>
        <w:outlineLvl w:val="1"/>
      </w:pPr>
      <w:bookmarkStart w:name="heading_7" w:id="7"/>
      <w:r>
        <w:rPr>
          <w:rFonts w:eastAsia="等线" w:ascii="Arial" w:cs="Arial" w:hAnsi="Arial"/>
          <w:b w:val="true"/>
          <w:color w:val="245bdb"/>
          <w:sz w:val="32"/>
        </w:rPr>
        <w:t xml:space="preserve">5.1 </w:t>
      </w:r>
      <w:r>
        <w:rPr>
          <w:rFonts w:eastAsia="等线" w:ascii="Arial" w:cs="Arial" w:hAnsi="Arial"/>
          <w:b w:val="true"/>
          <w:sz w:val="32"/>
        </w:rPr>
        <w:t xml:space="preserve">流程卡 </w:t>
      </w:r>
      <w:bookmarkEnd w:id="7"/>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2685"/>
        <w:gridCol w:w="1050"/>
        <w:gridCol w:w="885"/>
        <w:gridCol w:w="960"/>
        <w:gridCol w:w="1815"/>
      </w:tblGrid>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流程名称</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M6.3 管理对外战略合作</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流程层级</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L3</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流程架构编码</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M6.3</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流程定义</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通过对战略合作的全生命周期进行有效管理，从而实现让战略合作目标聚焦、资源聚焦，达到战略合作可落地、可执行、可持续，并能够实现健康运转和合作变现</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流程目的</w:t>
            </w:r>
          </w:p>
        </w:tc>
        <w:tc>
          <w:tcPr>
            <w:tcW w:w="3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流程专注于战略合作伙伴从规划、选择、建立合作到执行落地的全生命周期管理，通过建立完善的战略合作伙伴筛选和匹配方法，完善战略合作伙伴的沟通和合作推进机制，实现战略合作可执行、可落地、可持续，并且能够有相应的资源提供全流程的有效支撑和保障</w:t>
            </w:r>
          </w:p>
        </w:tc>
        <w:tc>
          <w:tcPr>
            <w:tcW w:w="960" w:type="dxa"/>
            <w:hMerge w:val="continue"/>
            <w:tcMar>
              <w:top w:type="dxa" w:w="60"/>
              <w:left w:type="dxa" w:w="120"/>
              <w:bottom w:type="dxa" w:w="30"/>
              <w:right w:type="dxa" w:w="120"/>
            </w:tcMar>
          </w:tcPr>
          <w:p>
            <w:pPr>
              <w:spacing w:before="120" w:after="120" w:line="288" w:lineRule="auto"/>
              <w:ind w:left="0"/>
              <w:jc w:val="left"/>
            </w:pPr>
          </w:p>
        </w:tc>
        <w:tc>
          <w:tcPr>
            <w:tcW w:w="1815" w:type="dxa"/>
            <w:hMerge w:val="continue"/>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流程责任人</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系统部总经理</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上一层流程名称</w:t>
            </w:r>
          </w:p>
        </w:tc>
        <w:tc>
          <w:tcPr>
            <w:tcW w:w="3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M6.0 市场管理</w:t>
            </w:r>
          </w:p>
        </w:tc>
        <w:tc>
          <w:tcPr>
            <w:tcW w:w="960" w:type="dxa"/>
            <w:hMerge w:val="continue"/>
            <w:tcMar>
              <w:top w:type="dxa" w:w="60"/>
              <w:left w:type="dxa" w:w="120"/>
              <w:bottom w:type="dxa" w:w="30"/>
              <w:right w:type="dxa" w:w="120"/>
            </w:tcMar>
          </w:tcPr>
          <w:p>
            <w:pPr>
              <w:spacing w:before="120" w:after="120" w:line="288" w:lineRule="auto"/>
              <w:ind w:left="0"/>
              <w:jc w:val="left"/>
            </w:pPr>
          </w:p>
        </w:tc>
        <w:tc>
          <w:tcPr>
            <w:tcW w:w="1815" w:type="dxa"/>
            <w:hMerge w:val="continue"/>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包含的下层子流程或活动</w:t>
            </w:r>
          </w:p>
        </w:tc>
        <w:tc>
          <w:tcPr>
            <w:tcW w:w="73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M6.3.1 战略合作伙伴规划</w:t>
            </w:r>
          </w:p>
          <w:p>
            <w:pPr>
              <w:spacing w:before="120" w:after="120" w:line="288" w:lineRule="auto"/>
              <w:ind w:left="0"/>
              <w:jc w:val="left"/>
            </w:pPr>
            <w:r>
              <w:rPr>
                <w:rFonts w:eastAsia="等线" w:ascii="Arial" w:cs="Arial" w:hAnsi="Arial"/>
                <w:sz w:val="22"/>
              </w:rPr>
              <w:t>M6.3.2 战略合作伙伴选择</w:t>
            </w:r>
          </w:p>
          <w:p>
            <w:pPr>
              <w:spacing w:before="120" w:after="120" w:line="288" w:lineRule="auto"/>
              <w:ind w:left="0"/>
              <w:jc w:val="left"/>
            </w:pPr>
            <w:r>
              <w:rPr>
                <w:rFonts w:eastAsia="等线" w:ascii="Arial" w:cs="Arial" w:hAnsi="Arial"/>
                <w:sz w:val="22"/>
              </w:rPr>
              <w:t>M6.3.3 推动战略合作达成</w:t>
            </w:r>
          </w:p>
          <w:p>
            <w:pPr>
              <w:spacing w:before="120" w:after="120" w:line="288" w:lineRule="auto"/>
              <w:ind w:left="0"/>
              <w:jc w:val="left"/>
            </w:pPr>
            <w:r>
              <w:rPr>
                <w:rFonts w:eastAsia="等线" w:ascii="Arial" w:cs="Arial" w:hAnsi="Arial"/>
                <w:sz w:val="22"/>
              </w:rPr>
              <w:t>M6.3.4 战略合作的联合动作</w:t>
            </w: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1815" w:type="dxa"/>
            <w:hMerge w:val="continue"/>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流程输入</w:t>
            </w:r>
          </w:p>
        </w:tc>
        <w:tc>
          <w:tcPr>
            <w:tcW w:w="73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部门SP/BP的战略机会和销售通路规划、重要市场机会洞察或关键解决方案需求洞察</w:t>
            </w: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1815" w:type="dxa"/>
            <w:hMerge w:val="continue"/>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输入标准</w:t>
            </w:r>
          </w:p>
        </w:tc>
        <w:tc>
          <w:tcPr>
            <w:tcW w:w="73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战略目标清晰，在SP/BP、机会洞察、需求洞察中定义出与战略推进中需要利用合作达到的的核心目的（如市场扩张、技术互补、成本优化等）</w:t>
            </w: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1815" w:type="dxa"/>
            <w:hMerge w:val="continue"/>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流程输出</w:t>
            </w:r>
          </w:p>
        </w:tc>
        <w:tc>
          <w:tcPr>
            <w:tcW w:w="73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1.达成战略合作的资源</w:t>
            </w:r>
          </w:p>
          <w:p>
            <w:pPr>
              <w:spacing w:before="120" w:after="120" w:line="288" w:lineRule="auto"/>
              <w:ind w:left="0"/>
              <w:jc w:val="left"/>
            </w:pPr>
            <w:r>
              <w:rPr>
                <w:rFonts w:eastAsia="等线" w:ascii="Arial" w:cs="Arial" w:hAnsi="Arial"/>
                <w:sz w:val="22"/>
              </w:rPr>
              <w:t>2.行动的总结和复盘</w:t>
            </w: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1815" w:type="dxa"/>
            <w:hMerge w:val="continue"/>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输出标准</w:t>
            </w:r>
          </w:p>
        </w:tc>
        <w:tc>
          <w:tcPr>
            <w:tcW w:w="73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对达成战略合作的合作伙伴，要有：</w:t>
            </w:r>
          </w:p>
          <w:p>
            <w:pPr>
              <w:spacing w:before="120" w:after="120" w:line="288" w:lineRule="auto"/>
              <w:ind w:left="0"/>
              <w:jc w:val="left"/>
            </w:pPr>
            <w:r>
              <w:rPr>
                <w:rFonts w:eastAsia="等线" w:ascii="Arial" w:cs="Arial" w:hAnsi="Arial"/>
                <w:sz w:val="22"/>
              </w:rPr>
              <w:t>1.目标量化：市场合作有明确时间节点需要达成的可量化目标，例如收入增长X%，用户量提升 Y%。</w:t>
            </w:r>
          </w:p>
          <w:p>
            <w:pPr>
              <w:spacing w:before="120" w:after="120" w:line="288" w:lineRule="auto"/>
              <w:ind w:left="0"/>
              <w:jc w:val="left"/>
            </w:pPr>
            <w:r>
              <w:rPr>
                <w:rFonts w:eastAsia="等线" w:ascii="Arial" w:cs="Arial" w:hAnsi="Arial"/>
                <w:sz w:val="22"/>
              </w:rPr>
              <w:t>2.行动明确：有明确的行动计划和阶段性任务（符合SMART原则）。</w:t>
            </w:r>
          </w:p>
          <w:p>
            <w:pPr>
              <w:spacing w:before="120" w:after="120" w:line="288" w:lineRule="auto"/>
              <w:ind w:left="0"/>
              <w:jc w:val="left"/>
            </w:pPr>
            <w:r>
              <w:rPr>
                <w:rFonts w:eastAsia="等线" w:ascii="Arial" w:cs="Arial" w:hAnsi="Arial"/>
                <w:sz w:val="22"/>
              </w:rPr>
              <w:t>3.机制清晰：有清晰的进度跟踪与优化机制，双方明确有资源投入以及冲突解决机制。</w:t>
            </w: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1815" w:type="dxa"/>
            <w:hMerge w:val="continue"/>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流程起点</w:t>
            </w:r>
          </w:p>
        </w:tc>
        <w:tc>
          <w:tcPr>
            <w:tcW w:w="73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定义战略合作目标</w:t>
            </w: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1815" w:type="dxa"/>
            <w:hMerge w:val="continue"/>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流程终点</w:t>
            </w:r>
          </w:p>
        </w:tc>
        <w:tc>
          <w:tcPr>
            <w:tcW w:w="73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行动总结和复盘</w:t>
            </w: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1815" w:type="dxa"/>
            <w:hMerge w:val="continue"/>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流程绩效指标</w:t>
            </w:r>
          </w:p>
        </w:tc>
        <w:tc>
          <w:tcPr>
            <w:tcW w:w="73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达成战略合作目标的战略合作有效率</w:t>
            </w:r>
          </w:p>
          <w:p>
            <w:pPr>
              <w:spacing w:before="120" w:after="120" w:line="288" w:lineRule="auto"/>
              <w:ind w:left="0"/>
              <w:jc w:val="left"/>
            </w:pPr>
            <w:r>
              <w:rPr>
                <w:rFonts w:eastAsia="等线" w:ascii="Arial" w:cs="Arial" w:hAnsi="Arial"/>
                <w:sz w:val="22"/>
              </w:rPr>
              <w:t>定义：该指标用于衡量实际开展有效联合行动并推动市场合作目标达成的比例。</w:t>
            </w:r>
          </w:p>
          <w:p>
            <w:pPr>
              <w:spacing w:before="120" w:after="120" w:line="288" w:lineRule="auto"/>
              <w:ind w:left="0"/>
              <w:jc w:val="left"/>
            </w:pPr>
            <w:r>
              <w:rPr>
                <w:rFonts w:eastAsia="等线" w:ascii="Arial" w:cs="Arial" w:hAnsi="Arial"/>
                <w:sz w:val="22"/>
              </w:rPr>
              <w:t>计算公式：（年度内开展有效联合行动的战略合作数量 / 签约的战略合作伙伴数量） × 100%(有效联合行动指经过行动总结和复盘评估，双方按照合作框架约定，通过资源协同、联合营销、方案开发等动作达成合作目标。)</w:t>
            </w:r>
          </w:p>
          <w:p>
            <w:pPr>
              <w:spacing w:before="120" w:after="120" w:line="288" w:lineRule="auto"/>
              <w:ind w:left="0"/>
              <w:jc w:val="left"/>
            </w:pPr>
            <w:r>
              <w:rPr>
                <w:rFonts w:eastAsia="等线" w:ascii="Arial" w:cs="Arial" w:hAnsi="Arial"/>
                <w:sz w:val="22"/>
              </w:rPr>
              <w:t>重要性：通过战略合作有效率，反映战略合作从签约到执行的转化能力，避免 “重签约、轻执行” 的形式化合作。</w:t>
            </w: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1815" w:type="dxa"/>
            <w:h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8" w:id="8"/>
      <w:r>
        <w:rPr>
          <w:rFonts w:eastAsia="等线" w:ascii="Arial" w:cs="Arial" w:hAnsi="Arial"/>
          <w:b w:val="true"/>
          <w:color w:val="245bdb"/>
          <w:sz w:val="32"/>
        </w:rPr>
        <w:t xml:space="preserve">5.2 </w:t>
      </w:r>
      <w:r>
        <w:rPr>
          <w:rFonts w:eastAsia="等线" w:ascii="Arial" w:cs="Arial" w:hAnsi="Arial"/>
          <w:b w:val="true"/>
          <w:sz w:val="32"/>
        </w:rPr>
        <w:t>流程图</w:t>
      </w:r>
      <w:bookmarkEnd w:id="8"/>
    </w:p>
    <w:p>
      <w:pPr>
        <w:pStyle w:val="3"/>
        <w:spacing w:before="300" w:after="120" w:line="288" w:lineRule="auto"/>
        <w:ind w:left="0"/>
        <w:jc w:val="left"/>
        <w:outlineLvl w:val="2"/>
      </w:pPr>
      <w:bookmarkStart w:name="heading_9" w:id="9"/>
      <w:r>
        <w:rPr>
          <w:rFonts w:eastAsia="等线" w:ascii="Arial" w:cs="Arial" w:hAnsi="Arial"/>
          <w:b w:val="true"/>
          <w:color w:val="245bdb"/>
          <w:sz w:val="30"/>
        </w:rPr>
        <w:t xml:space="preserve">5.2.1 </w:t>
      </w:r>
      <w:r>
        <w:rPr>
          <w:rFonts w:eastAsia="等线" w:ascii="Arial" w:cs="Arial" w:hAnsi="Arial"/>
          <w:b w:val="true"/>
          <w:sz w:val="30"/>
        </w:rPr>
        <w:t>L2流程框架（键盘图）</w:t>
      </w:r>
      <w:bookmarkEnd w:id="9"/>
    </w:p>
    <w:p>
      <w:pPr>
        <w:spacing w:before="120" w:after="120" w:line="288" w:lineRule="auto"/>
        <w:ind w:left="0" w:firstLine="420"/>
        <w:jc w:val="left"/>
      </w:pPr>
    </w:p>
    <w:p>
      <w:pPr>
        <w:spacing w:before="120" w:after="120" w:line="288" w:lineRule="auto"/>
        <w:ind w:left="0"/>
        <w:jc w:val="center"/>
      </w:pPr>
      <w:r>
        <w:drawing>
          <wp:inline distT="0" distR="0" distB="0" distL="0">
            <wp:extent cx="5257800" cy="1847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847850"/>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b w:val="true"/>
          <w:color w:val="245bdb"/>
          <w:sz w:val="30"/>
        </w:rPr>
        <w:t xml:space="preserve">5.2.2 </w:t>
      </w:r>
      <w:r>
        <w:rPr>
          <w:rFonts w:eastAsia="等线" w:ascii="Arial" w:cs="Arial" w:hAnsi="Arial"/>
          <w:b w:val="true"/>
          <w:sz w:val="30"/>
        </w:rPr>
        <w:t>L2流程图</w:t>
      </w:r>
      <w:bookmarkEnd w:id="10"/>
    </w:p>
    <w:p>
      <w:pPr>
        <w:spacing w:before="120" w:after="120" w:line="288" w:lineRule="auto"/>
        <w:ind w:left="0"/>
        <w:jc w:val="center"/>
      </w:pPr>
      <w:r>
        <w:drawing>
          <wp:inline distT="0" distR="0" distB="0" distL="0">
            <wp:extent cx="5257800" cy="38766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876675"/>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b w:val="true"/>
          <w:color w:val="245bdb"/>
          <w:sz w:val="30"/>
        </w:rPr>
        <w:t xml:space="preserve">5.2.3 </w:t>
      </w:r>
      <w:r>
        <w:rPr>
          <w:rFonts w:eastAsia="等线" w:ascii="Arial" w:cs="Arial" w:hAnsi="Arial"/>
          <w:b w:val="true"/>
          <w:sz w:val="30"/>
        </w:rPr>
        <w:t>L3流程图</w:t>
      </w:r>
      <w:bookmarkEnd w:id="11"/>
    </w:p>
    <w:p>
      <w:pPr>
        <w:spacing w:before="120" w:after="120" w:line="288" w:lineRule="auto"/>
        <w:ind w:left="0" w:firstLine="0"/>
        <w:jc w:val="left"/>
      </w:pPr>
      <w:r>
        <w:rPr>
          <w:rFonts w:eastAsia="等线" w:ascii="Arial" w:cs="Arial" w:hAnsi="Arial"/>
          <w:b w:val="true"/>
          <w:sz w:val="22"/>
        </w:rPr>
        <w:t>流程示意图：</w:t>
      </w:r>
    </w:p>
    <w:p>
      <w:pPr>
        <w:spacing w:before="120" w:after="120" w:line="288" w:lineRule="auto"/>
        <w:ind w:left="0"/>
        <w:jc w:val="center"/>
      </w:pPr>
      <w:r>
        <w:drawing>
          <wp:inline distT="0" distR="0" distB="0" distL="0">
            <wp:extent cx="5257800" cy="19145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9145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流程图：</w:t>
      </w:r>
    </w:p>
    <w:p>
      <w:pPr>
        <w:spacing w:before="120" w:after="120" w:line="288" w:lineRule="auto"/>
        <w:ind w:left="0"/>
        <w:jc w:val="center"/>
      </w:pPr>
      <w:r>
        <w:drawing>
          <wp:inline distT="0" distR="0" distB="0" distL="0">
            <wp:extent cx="5257800" cy="14287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428750"/>
                    </a:xfrm>
                    <a:prstGeom prst="rect">
                      <a:avLst/>
                    </a:prstGeom>
                  </pic:spPr>
                </pic:pic>
              </a:graphicData>
            </a:graphic>
          </wp:inline>
        </w:drawing>
      </w:r>
    </w:p>
    <w:p>
      <w:pPr>
        <w:spacing w:before="120" w:after="120" w:line="288" w:lineRule="auto"/>
        <w:ind w:left="0" w:firstLine="0"/>
        <w:jc w:val="left"/>
      </w:pPr>
    </w:p>
    <w:p>
      <w:pPr>
        <w:pStyle w:val="2"/>
        <w:spacing w:before="320" w:after="120" w:line="288" w:lineRule="auto"/>
        <w:ind w:left="0"/>
        <w:jc w:val="left"/>
        <w:outlineLvl w:val="1"/>
      </w:pPr>
      <w:bookmarkStart w:name="heading_12" w:id="12"/>
      <w:r>
        <w:rPr>
          <w:rFonts w:eastAsia="等线" w:ascii="Arial" w:cs="Arial" w:hAnsi="Arial"/>
          <w:b w:val="true"/>
          <w:color w:val="245bdb"/>
          <w:sz w:val="32"/>
        </w:rPr>
        <w:t xml:space="preserve">5.3 </w:t>
      </w:r>
      <w:r>
        <w:rPr>
          <w:rFonts w:eastAsia="等线" w:ascii="Arial" w:cs="Arial" w:hAnsi="Arial"/>
          <w:b w:val="true"/>
          <w:sz w:val="32"/>
        </w:rPr>
        <w:t>流程活动说明</w:t>
      </w:r>
      <w:bookmarkEnd w:id="12"/>
    </w:p>
    <w:p>
      <w:pPr>
        <w:pStyle w:val="3"/>
        <w:spacing w:before="300" w:after="120" w:line="288" w:lineRule="auto"/>
        <w:ind w:left="0"/>
        <w:jc w:val="left"/>
        <w:outlineLvl w:val="2"/>
      </w:pPr>
      <w:bookmarkStart w:name="heading_13" w:id="13"/>
      <w:r>
        <w:rPr>
          <w:rFonts w:eastAsia="等线" w:ascii="Arial" w:cs="Arial" w:hAnsi="Arial"/>
          <w:b w:val="true"/>
          <w:color w:val="245bdb"/>
          <w:sz w:val="30"/>
        </w:rPr>
        <w:t xml:space="preserve">5.3.1 </w:t>
      </w:r>
      <w:r>
        <w:rPr>
          <w:rFonts w:eastAsia="等线" w:ascii="Arial" w:cs="Arial" w:hAnsi="Arial"/>
          <w:b w:val="true"/>
          <w:sz w:val="30"/>
        </w:rPr>
        <w:t>流程活动说明</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5"/>
        <w:gridCol w:w="510"/>
        <w:gridCol w:w="1050"/>
        <w:gridCol w:w="375"/>
        <w:gridCol w:w="1590"/>
        <w:gridCol w:w="450"/>
        <w:gridCol w:w="450"/>
        <w:gridCol w:w="450"/>
        <w:gridCol w:w="450"/>
        <w:gridCol w:w="765"/>
        <w:gridCol w:w="450"/>
        <w:gridCol w:w="450"/>
        <w:gridCol w:w="615"/>
        <w:gridCol w:w="450"/>
      </w:tblGrid>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编号</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子流程</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活动</w:t>
            </w:r>
          </w:p>
        </w:tc>
        <w:tc>
          <w:tcPr>
            <w:tcW w:w="3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执行角色/岗位</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流程活动说明</w:t>
            </w:r>
          </w:p>
        </w:tc>
        <w:tc>
          <w:tcPr>
            <w:tcW w:w="4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是否是KCP/KDP</w:t>
            </w:r>
          </w:p>
        </w:tc>
        <w:tc>
          <w:tcPr>
            <w:tcW w:w="4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w:t>
            </w:r>
          </w:p>
        </w:tc>
        <w:tc>
          <w:tcPr>
            <w:tcW w:w="4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输入标准</w:t>
            </w:r>
          </w:p>
        </w:tc>
        <w:tc>
          <w:tcPr>
            <w:tcW w:w="4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输出标准</w:t>
            </w:r>
          </w:p>
          <w:p>
            <w:pPr>
              <w:spacing w:before="120" w:after="120" w:line="288" w:lineRule="auto"/>
              <w:ind w:left="0"/>
              <w:jc w:val="center"/>
            </w:pPr>
            <w:r>
              <w:rPr>
                <w:rFonts w:eastAsia="等线" w:ascii="Arial" w:cs="Arial" w:hAnsi="Arial"/>
                <w:sz w:val="22"/>
              </w:rPr>
              <w:t>（良品条件）</w:t>
            </w:r>
          </w:p>
        </w:tc>
        <w:tc>
          <w:tcPr>
            <w:tcW w:w="4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活动难点/关键点说明</w:t>
            </w:r>
          </w:p>
        </w:tc>
        <w:tc>
          <w:tcPr>
            <w:tcW w:w="4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业务变化点说明（与之前的主要变化点）</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指导书</w:t>
            </w:r>
          </w:p>
        </w:tc>
        <w:tc>
          <w:tcPr>
            <w:tcW w:w="4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工作模板</w:t>
            </w: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5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M6.3.1战略合作伙伴规划</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定义战略合作目标</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战略合作决策代表</w:t>
            </w:r>
          </w:p>
        </w:tc>
        <w:tc>
          <w:tcPr>
            <w:tcW w:w="1590" w:type="dxa"/>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sz w:val="22"/>
              </w:rPr>
              <w:t>在SP/BP、MI机会洞察或OR需求洞察中围绕战略达成，制定出需要通过战略合作来达到的核心目标，例如市场占有率提升、成本降低、客户数增加等</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SP/BP</w:t>
            </w:r>
          </w:p>
          <w:p>
            <w:pPr>
              <w:spacing w:before="120" w:after="120" w:line="288" w:lineRule="auto"/>
              <w:ind w:left="0"/>
              <w:jc w:val="left"/>
            </w:pPr>
            <w:r>
              <w:rPr>
                <w:rFonts w:eastAsia="等线" w:ascii="Arial" w:cs="Arial" w:hAnsi="Arial"/>
                <w:sz w:val="22"/>
              </w:rPr>
              <w:t>MI机会洞察</w:t>
            </w:r>
          </w:p>
          <w:p>
            <w:pPr>
              <w:spacing w:before="120" w:after="120" w:line="288" w:lineRule="auto"/>
              <w:ind w:left="0"/>
              <w:jc w:val="left"/>
            </w:pPr>
            <w:r>
              <w:rPr>
                <w:rFonts w:eastAsia="等线" w:ascii="Arial" w:cs="Arial" w:hAnsi="Arial"/>
                <w:sz w:val="22"/>
              </w:rPr>
              <w:t>OR需求洞察</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战略目标清晰，例如市场扩张、技术互补、成本优化等</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战略合作核心目标</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战略合作核心目标清晰明确，可量化：</w:t>
            </w:r>
          </w:p>
          <w:p>
            <w:pPr>
              <w:spacing w:before="120" w:after="120" w:line="288" w:lineRule="auto"/>
              <w:ind w:left="0"/>
              <w:jc w:val="left"/>
            </w:pPr>
            <w:r>
              <w:rPr>
                <w:rFonts w:eastAsia="等线" w:ascii="Arial" w:cs="Arial" w:hAnsi="Arial"/>
                <w:sz w:val="22"/>
              </w:rPr>
              <w:t>例如市场占有率提升 20%、成本降低 15% 等</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战略合作目标从定性变为定量</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51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评估自身资源优势与短板</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战略合作执行代表</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围绕战略合作目标，采用SWOT分析法评估开展战略合作的自身资源能力优势与需要通过合作补充的短板：</w:t>
            </w:r>
          </w:p>
          <w:p>
            <w:pPr>
              <w:numPr>
                <w:numId w:val="6"/>
              </w:numPr>
              <w:spacing w:before="120" w:after="120" w:line="288" w:lineRule="auto"/>
              <w:ind w:left="0"/>
              <w:jc w:val="left"/>
            </w:pPr>
            <w:r>
              <w:rPr>
                <w:rFonts w:eastAsia="等线" w:ascii="Arial" w:cs="Arial" w:hAnsi="Arial"/>
                <w:sz w:val="22"/>
              </w:rPr>
              <w:t>评估自身资源优势（产品方案、渠道通路、市场占有率等）以及劣势（覆盖能力不足、方案有缺失等）</w:t>
            </w:r>
          </w:p>
          <w:p>
            <w:pPr>
              <w:numPr>
                <w:numId w:val="7"/>
              </w:numPr>
              <w:spacing w:before="120" w:after="120" w:line="288" w:lineRule="auto"/>
              <w:ind w:left="0"/>
              <w:jc w:val="left"/>
            </w:pPr>
            <w:r>
              <w:rPr>
                <w:rFonts w:eastAsia="等线" w:ascii="Arial" w:cs="Arial" w:hAnsi="Arial"/>
                <w:sz w:val="22"/>
              </w:rPr>
              <w:t>结合洞察，瞄准机会点以及看见市场合作需要规避或者开展竞争的威胁</w:t>
            </w:r>
          </w:p>
          <w:p>
            <w:pPr>
              <w:numPr>
                <w:numId w:val="8"/>
              </w:numPr>
              <w:spacing w:before="120" w:after="120" w:line="288" w:lineRule="auto"/>
              <w:ind w:left="0"/>
              <w:jc w:val="left"/>
            </w:pPr>
            <w:r>
              <w:rPr>
                <w:rFonts w:eastAsia="等线" w:ascii="Arial" w:cs="Arial" w:hAnsi="Arial"/>
                <w:sz w:val="22"/>
              </w:rPr>
              <w:t>得到结论：锐捷需要通过合作伙伴补充的资源，例如资金、产品方案、技术、渠道通路等</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战略合作核心目标</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战略合作核心目标清晰明确，可量化：</w:t>
            </w:r>
          </w:p>
          <w:p>
            <w:pPr>
              <w:spacing w:before="120" w:after="120" w:line="288" w:lineRule="auto"/>
              <w:ind w:left="0"/>
              <w:jc w:val="left"/>
            </w:pPr>
            <w:r>
              <w:rPr>
                <w:rFonts w:eastAsia="等线" w:ascii="Arial" w:cs="Arial" w:hAnsi="Arial"/>
                <w:sz w:val="22"/>
              </w:rPr>
              <w:t>例如市场占有率提升 20%、成本降低 15% 等</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战略合作需要的资源和能力</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围绕达成战略目标，明确需要战略合作补充的资源以及开展合作我们的优势</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围绕目标进行资源分析</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51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明确战略合作伙伴画像</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战略合作执行代表</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根据所需要的资源，形成战略合作伙伴的画像（即我们需要什么样类型的公司能够达成我们的目标）</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自身资源优势与短板</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围绕达成战略目标，明确需要战略合作补充的资源以及开展合作我们的优势</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战略合作伙伴画像</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形成明确的合作伙伴画像</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形成明确的合作伙伴画像</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《战略合作伙伴画像》</w:t>
            </w: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5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M6.3.2战略合作伙伴选择</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开展潜在合作伙伴接触和沟通</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战略合作执行代表</w:t>
            </w:r>
          </w:p>
        </w:tc>
        <w:tc>
          <w:tcPr>
            <w:tcW w:w="1590"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sz w:val="22"/>
              </w:rPr>
              <w:t>确定一批符合画像的潜在合作伙伴，行业扫描可通过：行业报告、企业官网、新闻动态，圈子口碑等，锁定一批潜在合作伙伴</w:t>
            </w:r>
          </w:p>
          <w:p>
            <w:pPr>
              <w:numPr>
                <w:numId w:val="10"/>
              </w:numPr>
              <w:spacing w:before="120" w:after="120" w:line="288" w:lineRule="auto"/>
              <w:ind w:left="0"/>
              <w:jc w:val="left"/>
            </w:pPr>
            <w:r>
              <w:rPr>
                <w:rFonts w:eastAsia="等线" w:ascii="Arial" w:cs="Arial" w:hAnsi="Arial"/>
                <w:sz w:val="22"/>
              </w:rPr>
              <w:t>开展潜在合作伙伴的接触和拜访，完善信息收集</w:t>
            </w:r>
          </w:p>
          <w:p>
            <w:pPr>
              <w:numPr>
                <w:numId w:val="11"/>
              </w:numPr>
              <w:spacing w:before="120" w:after="120" w:line="288" w:lineRule="auto"/>
              <w:ind w:left="0"/>
              <w:jc w:val="left"/>
            </w:pPr>
            <w:r>
              <w:rPr>
                <w:rFonts w:eastAsia="等线" w:ascii="Arial" w:cs="Arial" w:hAnsi="Arial"/>
                <w:sz w:val="22"/>
              </w:rPr>
              <w:t>收集信息包括但不限于：</w:t>
            </w:r>
          </w:p>
          <w:p>
            <w:pPr>
              <w:numPr>
                <w:numId w:val="12"/>
              </w:numPr>
              <w:spacing w:before="120" w:after="120" w:line="288" w:lineRule="auto"/>
              <w:ind w:left="453"/>
              <w:jc w:val="left"/>
            </w:pPr>
            <w:r>
              <w:rPr>
                <w:rFonts w:eastAsia="等线" w:ascii="Arial" w:cs="Arial" w:hAnsi="Arial"/>
                <w:sz w:val="22"/>
              </w:rPr>
              <w:t>合作伙伴战略目标、重点耕耘市场以及定位</w:t>
            </w:r>
          </w:p>
          <w:p>
            <w:pPr>
              <w:numPr>
                <w:numId w:val="13"/>
              </w:numPr>
              <w:spacing w:before="120" w:after="120" w:line="288" w:lineRule="auto"/>
              <w:ind w:left="453"/>
              <w:jc w:val="left"/>
            </w:pPr>
            <w:r>
              <w:rPr>
                <w:rFonts w:eastAsia="等线" w:ascii="Arial" w:cs="Arial" w:hAnsi="Arial"/>
                <w:sz w:val="22"/>
              </w:rPr>
              <w:t>合作伙伴优势和短板（含通路、技术等）</w:t>
            </w:r>
          </w:p>
          <w:p>
            <w:pPr>
              <w:numPr>
                <w:numId w:val="14"/>
              </w:numPr>
              <w:spacing w:before="120" w:after="120" w:line="288" w:lineRule="auto"/>
              <w:ind w:left="453"/>
              <w:jc w:val="left"/>
            </w:pPr>
            <w:r>
              <w:rPr>
                <w:rFonts w:eastAsia="等线" w:ascii="Arial" w:cs="Arial" w:hAnsi="Arial"/>
                <w:sz w:val="22"/>
              </w:rPr>
              <w:t>合作伙伴组织架构和决策模式</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战略合作伙伴画像</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明确的合作伙伴画像</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合作伙伴信息收集及打分表</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按照需要收集的信息建议，完善潜在战略合作伙伴信息</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51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筛选潜在合作伙伴并确定优选合作目标</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战略合作执行代表</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战略合作决策代表</w:t>
            </w:r>
          </w:p>
        </w:tc>
        <w:tc>
          <w:tcPr>
            <w:tcW w:w="1590" w:type="dxa"/>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sz w:val="22"/>
              </w:rPr>
              <w:t>评估并筛选潜在合作伙伴，筛选维度：</w:t>
            </w:r>
          </w:p>
          <w:p>
            <w:pPr>
              <w:numPr>
                <w:numId w:val="16"/>
              </w:numPr>
              <w:spacing w:before="120" w:after="120" w:line="288" w:lineRule="auto"/>
              <w:ind w:left="0"/>
              <w:jc w:val="left"/>
            </w:pPr>
            <w:r>
              <w:rPr>
                <w:rFonts w:eastAsia="等线" w:ascii="Arial" w:cs="Arial" w:hAnsi="Arial"/>
                <w:sz w:val="22"/>
              </w:rPr>
              <w:t>战略匹配度：合作双方战略方向一致性</w:t>
            </w:r>
          </w:p>
          <w:p>
            <w:pPr>
              <w:numPr>
                <w:numId w:val="17"/>
              </w:numPr>
              <w:spacing w:before="120" w:after="120" w:line="288" w:lineRule="auto"/>
              <w:ind w:left="0"/>
              <w:jc w:val="left"/>
            </w:pPr>
            <w:r>
              <w:rPr>
                <w:rFonts w:eastAsia="等线" w:ascii="Arial" w:cs="Arial" w:hAnsi="Arial"/>
                <w:sz w:val="22"/>
              </w:rPr>
              <w:t>资源互补度：合作双方资源和能力是否互补</w:t>
            </w:r>
          </w:p>
          <w:p>
            <w:pPr>
              <w:numPr>
                <w:numId w:val="18"/>
              </w:numPr>
              <w:spacing w:before="120" w:after="120" w:line="288" w:lineRule="auto"/>
              <w:ind w:left="0"/>
              <w:jc w:val="left"/>
            </w:pPr>
            <w:r>
              <w:rPr>
                <w:rFonts w:eastAsia="等线" w:ascii="Arial" w:cs="Arial" w:hAnsi="Arial"/>
                <w:sz w:val="22"/>
              </w:rPr>
              <w:t>风险可控度：合作双方是否会存在潜在风险，例如扩大竞争、影响其他合作等</w:t>
            </w:r>
          </w:p>
          <w:p>
            <w:pPr>
              <w:numPr>
                <w:numId w:val="19"/>
              </w:numPr>
              <w:spacing w:before="120" w:after="120" w:line="288" w:lineRule="auto"/>
              <w:ind w:left="0"/>
              <w:jc w:val="left"/>
            </w:pPr>
            <w:r>
              <w:rPr>
                <w:rFonts w:eastAsia="等线" w:ascii="Arial" w:cs="Arial" w:hAnsi="Arial"/>
                <w:sz w:val="22"/>
              </w:rPr>
              <w:t>合作兼容度：双方在后续市场推进上的动作以及管理方式、商务模式上是否会存在冲突</w:t>
            </w:r>
          </w:p>
          <w:p>
            <w:pPr>
              <w:numPr>
                <w:numId w:val="20"/>
              </w:numPr>
              <w:spacing w:before="120" w:after="120" w:line="288" w:lineRule="auto"/>
              <w:ind w:left="0"/>
              <w:jc w:val="left"/>
            </w:pPr>
            <w:r>
              <w:rPr>
                <w:rFonts w:eastAsia="等线" w:ascii="Arial" w:cs="Arial" w:hAnsi="Arial"/>
                <w:sz w:val="22"/>
              </w:rPr>
              <w:t xml:space="preserve">经过筛选分析不适合战略合作的伙伴，根据业务合作目标，可转为其他合作形式： 渠道伙伴、项目合作等。 </w:t>
            </w:r>
          </w:p>
          <w:p>
            <w:pPr>
              <w:numPr>
                <w:numId w:val="21"/>
              </w:numPr>
              <w:spacing w:before="120" w:after="120" w:line="288" w:lineRule="auto"/>
              <w:ind w:left="0"/>
              <w:jc w:val="left"/>
            </w:pPr>
            <w:r>
              <w:rPr>
                <w:rFonts w:eastAsia="等线" w:ascii="Arial" w:cs="Arial" w:hAnsi="Arial"/>
                <w:sz w:val="22"/>
              </w:rPr>
              <w:t xml:space="preserve">经过筛选，可以成为战略合作伙伴，则合作目标，为下步合作洽谈设定指导原则。 </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合作伙伴信息收集</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信息完善</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潜在战略合作伙伴打分</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得分高的合作伙伴作为优选战略合作渠道</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《战略合作伙伴筛选评估指导书V0.9》</w:t>
            </w:r>
            <w:hyperlink r:id="rId9">
              <w:r>
                <w:rPr>
                  <w:rFonts w:eastAsia="等线" w:ascii="Arial" w:cs="Arial" w:hAnsi="Arial"/>
                  <w:color w:val="3370ff"/>
                  <w:sz w:val="22"/>
                </w:rPr>
                <w:t>战略合作伙伴筛选评估指导书V0.9</w:t>
              </w:r>
            </w:hyperlink>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5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M6.3.3推动战略合作达成</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开展战略合作洽谈</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战略合作执行代表</w:t>
            </w:r>
          </w:p>
          <w:p>
            <w:pPr>
              <w:spacing w:before="120" w:after="120" w:line="288" w:lineRule="auto"/>
              <w:ind w:left="0"/>
              <w:jc w:val="left"/>
            </w:pPr>
            <w:r>
              <w:rPr>
                <w:rFonts w:eastAsia="等线" w:ascii="Arial" w:cs="Arial" w:hAnsi="Arial"/>
                <w:sz w:val="22"/>
              </w:rPr>
              <w:t>战略合作支持代表</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针对优选合作伙伴开展战略合作沟通以及合作内容的商讨：</w:t>
            </w:r>
          </w:p>
          <w:p>
            <w:pPr>
              <w:numPr>
                <w:numId w:val="22"/>
              </w:numPr>
              <w:spacing w:before="120" w:after="120" w:line="288" w:lineRule="auto"/>
              <w:ind w:left="0"/>
              <w:jc w:val="left"/>
            </w:pPr>
            <w:r>
              <w:rPr>
                <w:rFonts w:eastAsia="等线" w:ascii="Arial" w:cs="Arial" w:hAnsi="Arial"/>
                <w:sz w:val="22"/>
              </w:rPr>
              <w:t>市场型合作：开展成熟解决方案和目标市场的沟通，商量方案合作模式以及市场推广方式</w:t>
            </w:r>
          </w:p>
          <w:p>
            <w:pPr>
              <w:numPr>
                <w:numId w:val="23"/>
              </w:numPr>
              <w:spacing w:before="120" w:after="120" w:line="288" w:lineRule="auto"/>
              <w:ind w:left="0"/>
              <w:jc w:val="left"/>
            </w:pPr>
            <w:r>
              <w:rPr>
                <w:rFonts w:eastAsia="等线" w:ascii="Arial" w:cs="Arial" w:hAnsi="Arial"/>
                <w:sz w:val="22"/>
              </w:rPr>
              <w:t>方案/技术型合作：开展方案联合测试、调试、开发等前期准备工作</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优选战略合作渠道</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战略合作意愿确定</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合作双方达成合作意愿</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51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合作模式设计并制定合作框架</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战略合作执行代表</w:t>
            </w:r>
          </w:p>
          <w:p>
            <w:pPr>
              <w:spacing w:before="120" w:after="120" w:line="288" w:lineRule="auto"/>
              <w:ind w:left="0"/>
              <w:jc w:val="left"/>
            </w:pPr>
            <w:r>
              <w:rPr>
                <w:rFonts w:eastAsia="等线" w:ascii="Arial" w:cs="Arial" w:hAnsi="Arial"/>
                <w:sz w:val="22"/>
              </w:rPr>
              <w:t>战略合作支持代表</w:t>
            </w:r>
          </w:p>
        </w:tc>
        <w:tc>
          <w:tcPr>
            <w:tcW w:w="1590" w:type="dxa"/>
            <w:tcMar>
              <w:top w:type="dxa" w:w="60"/>
              <w:left w:type="dxa" w:w="120"/>
              <w:bottom w:type="dxa" w:w="30"/>
              <w:right w:type="dxa" w:w="120"/>
            </w:tcMar>
          </w:tcPr>
          <w:p>
            <w:pPr>
              <w:numPr>
                <w:numId w:val="24"/>
              </w:numPr>
              <w:spacing w:before="120" w:after="120" w:line="288" w:lineRule="auto"/>
              <w:ind w:left="0"/>
              <w:jc w:val="left"/>
            </w:pPr>
            <w:r>
              <w:rPr>
                <w:rFonts w:eastAsia="等线" w:ascii="Arial" w:cs="Arial" w:hAnsi="Arial"/>
                <w:sz w:val="22"/>
              </w:rPr>
              <w:t>战略合作双方联合设计并制定合作框架</w:t>
            </w:r>
          </w:p>
          <w:p>
            <w:pPr>
              <w:numPr>
                <w:numId w:val="25"/>
              </w:numPr>
              <w:spacing w:before="120" w:after="120" w:line="288" w:lineRule="auto"/>
              <w:ind w:left="453"/>
              <w:jc w:val="left"/>
            </w:pPr>
            <w:r>
              <w:rPr>
                <w:rFonts w:eastAsia="等线" w:ascii="Arial" w:cs="Arial" w:hAnsi="Arial"/>
                <w:sz w:val="22"/>
              </w:rPr>
              <w:t>确定合作模式（合资、联盟、资源互换等），明确权责分配（如技术输出方、渠道提供方）</w:t>
            </w:r>
          </w:p>
          <w:p>
            <w:pPr>
              <w:numPr>
                <w:numId w:val="26"/>
              </w:numPr>
              <w:spacing w:before="120" w:after="120" w:line="288" w:lineRule="auto"/>
              <w:ind w:left="453"/>
              <w:jc w:val="left"/>
            </w:pPr>
            <w:r>
              <w:rPr>
                <w:rFonts w:eastAsia="等线" w:ascii="Arial" w:cs="Arial" w:hAnsi="Arial"/>
                <w:sz w:val="22"/>
              </w:rPr>
              <w:t>设计利益共享机制（分成比例、知识产权归属、退出条款）</w:t>
            </w:r>
          </w:p>
          <w:p>
            <w:pPr>
              <w:numPr>
                <w:numId w:val="27"/>
              </w:numPr>
              <w:spacing w:before="120" w:after="120" w:line="288" w:lineRule="auto"/>
              <w:ind w:left="453"/>
              <w:jc w:val="left"/>
            </w:pPr>
            <w:r>
              <w:rPr>
                <w:rFonts w:eastAsia="等线" w:ascii="Arial" w:cs="Arial" w:hAnsi="Arial"/>
                <w:sz w:val="22"/>
              </w:rPr>
              <w:t>约定退出机制：约定合作终止条件（如业绩未达标、战略调整）及补偿条款</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合作双方达成合作意愿</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战略合作框架</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约定明确的合作模式、利益分配机制、退出机制以及管理机制</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合作模式和框架制定</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增加战略合作框架设计和合作模式设计</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51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合作框架评审</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战略合作决策代表</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评审合作框架： 合作模式、共享机制、退出机制。</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战略合作框架</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约定明确的合作模式、利益分配机制、退出机制以及管理机制</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评审通过的战略合作框架</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完整的评审记录和评委意见</w:t>
            </w:r>
          </w:p>
          <w:p>
            <w:pPr>
              <w:spacing w:before="120" w:after="120" w:line="288" w:lineRule="auto"/>
              <w:ind w:left="0"/>
              <w:jc w:val="left"/>
            </w:pPr>
            <w:r>
              <w:rPr>
                <w:rFonts w:eastAsia="等线" w:ascii="Arial" w:cs="Arial" w:hAnsi="Arial"/>
                <w:sz w:val="22"/>
              </w:rPr>
              <w:t>通过，未通过决策</w:t>
            </w:r>
          </w:p>
        </w:tc>
        <w:tc>
          <w:tcPr>
            <w:tcW w:w="450" w:type="dxa"/>
            <w:tcMar>
              <w:top w:type="dxa" w:w="60"/>
              <w:left w:type="dxa" w:w="120"/>
              <w:bottom w:type="dxa" w:w="30"/>
              <w:right w:type="dxa" w:w="120"/>
            </w:tcMar>
          </w:tcPr>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《合作框架评审指导书V0.9》</w:t>
            </w:r>
          </w:p>
          <w:p>
            <w:pPr>
              <w:spacing w:before="120" w:after="120" w:line="288" w:lineRule="auto"/>
              <w:ind w:left="0"/>
              <w:jc w:val="left"/>
            </w:pPr>
            <w:hyperlink r:id="rId10">
              <w:r>
                <w:rPr>
                  <w:rFonts w:eastAsia="等线" w:ascii="Arial" w:cs="Arial" w:hAnsi="Arial"/>
                  <w:color w:val="3370ff"/>
                  <w:sz w:val="22"/>
                </w:rPr>
                <w:t>合作框架评审指导书</w:t>
              </w:r>
            </w:hyperlink>
          </w:p>
        </w:tc>
        <w:tc>
          <w:tcPr>
            <w:tcW w:w="450"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51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战略合作签约</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战略合作执行代表</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战略合作支持代表</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战略合作决策代表</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战略合作双方高层出面，完成一次公开的签约仪式。</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完整的评审记录和评委意见</w:t>
            </w:r>
          </w:p>
          <w:p>
            <w:pPr>
              <w:spacing w:before="120" w:after="120" w:line="288" w:lineRule="auto"/>
              <w:ind w:left="0"/>
              <w:jc w:val="left"/>
            </w:pPr>
            <w:r>
              <w:rPr>
                <w:rFonts w:eastAsia="等线" w:ascii="Arial" w:cs="Arial" w:hAnsi="Arial"/>
                <w:sz w:val="22"/>
              </w:rPr>
              <w:t>通过过决策</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约定明确的合作模式、利益分配机制、退出机制以及管理机制</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达成战略合作签约</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5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M6.3.4战略合作执行管理</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制定战略合作落地计划</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战略合作执行代表</w:t>
            </w:r>
          </w:p>
        </w:tc>
        <w:tc>
          <w:tcPr>
            <w:tcW w:w="1590" w:type="dxa"/>
            <w:tcMar>
              <w:top w:type="dxa" w:w="60"/>
              <w:left w:type="dxa" w:w="120"/>
              <w:bottom w:type="dxa" w:w="30"/>
              <w:right w:type="dxa" w:w="120"/>
            </w:tcMar>
          </w:tcPr>
          <w:p>
            <w:pPr>
              <w:numPr>
                <w:numId w:val="28"/>
              </w:numPr>
              <w:spacing w:before="120" w:after="120" w:line="288" w:lineRule="auto"/>
              <w:ind w:left="0"/>
              <w:jc w:val="left"/>
            </w:pPr>
            <w:r>
              <w:rPr>
                <w:rFonts w:eastAsia="等线" w:ascii="Arial" w:cs="Arial" w:hAnsi="Arial"/>
                <w:sz w:val="22"/>
              </w:rPr>
              <w:t>围绕战略合作制定的目标进行落地计划拆分，将长期目标分解为季度或月度里程碑（如第一个月完成前三单试跑，第二个月完成样板会，第三个月...）</w:t>
            </w:r>
          </w:p>
          <w:p>
            <w:pPr>
              <w:numPr>
                <w:numId w:val="29"/>
              </w:numPr>
              <w:spacing w:before="120" w:after="120" w:line="288" w:lineRule="auto"/>
              <w:ind w:left="0"/>
              <w:jc w:val="left"/>
            </w:pPr>
            <w:r>
              <w:rPr>
                <w:rFonts w:eastAsia="等线" w:ascii="Arial" w:cs="Arial" w:hAnsi="Arial"/>
                <w:sz w:val="22"/>
              </w:rPr>
              <w:t>再将拆分的目标落实到月度行动上</w:t>
            </w:r>
          </w:p>
          <w:p>
            <w:pPr>
              <w:numPr>
                <w:numId w:val="30"/>
              </w:numPr>
              <w:spacing w:before="120" w:after="120" w:line="288" w:lineRule="auto"/>
              <w:ind w:left="0"/>
              <w:jc w:val="left"/>
            </w:pPr>
            <w:r>
              <w:rPr>
                <w:rFonts w:eastAsia="等线" w:ascii="Arial" w:cs="Arial" w:hAnsi="Arial"/>
                <w:sz w:val="22"/>
              </w:rPr>
              <w:t>同时，制定运转和管理机制（阶段性数据监控以及复盘优化）</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达成战略合作签约</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战略合作落地行动计划</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计划符合OKR执行要求</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rPr>
                <w:t>市场目标及计划制定</w:t>
              </w:r>
            </w:hyperlink>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51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开展战略合作联合行动</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战略合作执行代表</w:t>
            </w:r>
          </w:p>
        </w:tc>
        <w:tc>
          <w:tcPr>
            <w:tcW w:w="1590" w:type="dxa"/>
            <w:tcMar>
              <w:top w:type="dxa" w:w="60"/>
              <w:left w:type="dxa" w:w="120"/>
              <w:bottom w:type="dxa" w:w="30"/>
              <w:right w:type="dxa" w:w="120"/>
            </w:tcMar>
          </w:tcPr>
          <w:p>
            <w:pPr>
              <w:numPr>
                <w:numId w:val="31"/>
              </w:numPr>
              <w:spacing w:before="120" w:after="120" w:line="288" w:lineRule="auto"/>
              <w:ind w:left="0"/>
              <w:jc w:val="left"/>
            </w:pPr>
            <w:r>
              <w:rPr>
                <w:rFonts w:eastAsia="等线" w:ascii="Arial" w:cs="Arial" w:hAnsi="Arial"/>
                <w:sz w:val="22"/>
              </w:rPr>
              <w:t>合作小范围试点</w:t>
            </w:r>
          </w:p>
          <w:p>
            <w:pPr>
              <w:numPr>
                <w:numId w:val="32"/>
              </w:numPr>
              <w:spacing w:before="120" w:after="120" w:line="288" w:lineRule="auto"/>
              <w:ind w:left="453"/>
              <w:jc w:val="left"/>
            </w:pPr>
            <w:r>
              <w:rPr>
                <w:rFonts w:eastAsia="等线" w:ascii="Arial" w:cs="Arial" w:hAnsi="Arial"/>
                <w:sz w:val="22"/>
              </w:rPr>
              <w:t>先开展短期项目（如联合促销）验证协同性</w:t>
            </w:r>
          </w:p>
          <w:p>
            <w:pPr>
              <w:numPr>
                <w:numId w:val="33"/>
              </w:numPr>
              <w:spacing w:before="120" w:after="120" w:line="288" w:lineRule="auto"/>
              <w:ind w:left="453"/>
              <w:jc w:val="left"/>
            </w:pPr>
            <w:r>
              <w:rPr>
                <w:rFonts w:eastAsia="等线" w:ascii="Arial" w:cs="Arial" w:hAnsi="Arial"/>
                <w:sz w:val="22"/>
              </w:rPr>
              <w:t>跟踪指标：合作响应速度、资源投入效率、客户反馈</w:t>
            </w:r>
          </w:p>
          <w:p>
            <w:pPr>
              <w:numPr>
                <w:numId w:val="34"/>
              </w:numPr>
              <w:spacing w:before="120" w:after="120" w:line="288" w:lineRule="auto"/>
              <w:ind w:left="0"/>
              <w:jc w:val="left"/>
            </w:pPr>
            <w:r>
              <w:rPr>
                <w:rFonts w:eastAsia="等线" w:ascii="Arial" w:cs="Arial" w:hAnsi="Arial"/>
                <w:sz w:val="22"/>
              </w:rPr>
              <w:t>全面推广和动态评估、优化</w:t>
            </w:r>
          </w:p>
          <w:p>
            <w:pPr>
              <w:numPr>
                <w:numId w:val="35"/>
              </w:numPr>
              <w:spacing w:before="120" w:after="120" w:line="288" w:lineRule="auto"/>
              <w:ind w:left="453"/>
              <w:jc w:val="left"/>
            </w:pPr>
            <w:r>
              <w:rPr>
                <w:rFonts w:eastAsia="等线" w:ascii="Arial" w:cs="Arial" w:hAnsi="Arial"/>
                <w:sz w:val="22"/>
              </w:rPr>
              <w:t>每月评估合作效果，分析 KPI 达成情况</w:t>
            </w:r>
          </w:p>
          <w:p>
            <w:pPr>
              <w:numPr>
                <w:numId w:val="36"/>
              </w:numPr>
              <w:spacing w:before="120" w:after="120" w:line="288" w:lineRule="auto"/>
              <w:ind w:left="453"/>
              <w:jc w:val="left"/>
            </w:pPr>
            <w:r>
              <w:rPr>
                <w:rFonts w:eastAsia="等线" w:ascii="Arial" w:cs="Arial" w:hAnsi="Arial"/>
                <w:sz w:val="22"/>
              </w:rPr>
              <w:t>针对KPI达成情况进行双方行动修正</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战略合作落地行动计划</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计划符合OKR执行要求</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联合行动与阶段复盘</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阶段性KPI目标达成</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51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行动总结和复盘</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战略合作执行代表</w:t>
            </w:r>
          </w:p>
          <w:p>
            <w:pPr>
              <w:spacing w:before="120" w:after="120" w:line="288" w:lineRule="auto"/>
              <w:ind w:left="0"/>
              <w:jc w:val="left"/>
            </w:pPr>
            <w:r>
              <w:rPr>
                <w:rFonts w:eastAsia="等线" w:ascii="Arial" w:cs="Arial" w:hAnsi="Arial"/>
                <w:sz w:val="22"/>
              </w:rPr>
              <w:t>战略合作决策代表</w:t>
            </w:r>
          </w:p>
        </w:tc>
        <w:tc>
          <w:tcPr>
            <w:tcW w:w="1590" w:type="dxa"/>
            <w:tcMar>
              <w:top w:type="dxa" w:w="60"/>
              <w:left w:type="dxa" w:w="120"/>
              <w:bottom w:type="dxa" w:w="30"/>
              <w:right w:type="dxa" w:w="120"/>
            </w:tcMar>
          </w:tcPr>
          <w:p>
            <w:pPr>
              <w:numPr>
                <w:numId w:val="37"/>
              </w:numPr>
              <w:spacing w:before="120" w:after="120" w:line="288" w:lineRule="auto"/>
              <w:ind w:left="0"/>
              <w:jc w:val="left"/>
            </w:pPr>
            <w:r>
              <w:rPr>
                <w:rFonts w:eastAsia="等线" w:ascii="Arial" w:cs="Arial" w:hAnsi="Arial"/>
                <w:sz w:val="22"/>
              </w:rPr>
              <w:t>按照合作框架约定的合作截止时间，针对整体合作情况进行全面评估，包括数据达成情况、目标执行情况等</w:t>
            </w:r>
          </w:p>
          <w:p>
            <w:pPr>
              <w:numPr>
                <w:numId w:val="38"/>
              </w:numPr>
              <w:spacing w:before="120" w:after="120" w:line="288" w:lineRule="auto"/>
              <w:ind w:left="0"/>
              <w:jc w:val="left"/>
            </w:pPr>
            <w:r>
              <w:rPr>
                <w:rFonts w:eastAsia="等线" w:ascii="Arial" w:cs="Arial" w:hAnsi="Arial"/>
                <w:sz w:val="22"/>
              </w:rPr>
              <w:t>结合复盘情况，评估是否要继续开展合作</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联合行动与阶段复盘</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阶段性KPI目标达成</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战略合作总结</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bl>
    <w:p>
      <w:pPr>
        <w:spacing w:before="120" w:after="120" w:line="288" w:lineRule="auto"/>
        <w:ind w:left="0" w:firstLine="0"/>
        <w:jc w:val="left"/>
      </w:pPr>
    </w:p>
    <w:p>
      <w:pPr>
        <w:pStyle w:val="3"/>
        <w:spacing w:before="300" w:after="120" w:line="288" w:lineRule="auto"/>
        <w:ind w:left="0"/>
        <w:jc w:val="left"/>
        <w:outlineLvl w:val="2"/>
      </w:pPr>
      <w:bookmarkStart w:name="heading_14" w:id="14"/>
      <w:r>
        <w:rPr>
          <w:rFonts w:eastAsia="等线" w:ascii="Arial" w:cs="Arial" w:hAnsi="Arial"/>
          <w:b w:val="true"/>
          <w:color w:val="245bdb"/>
          <w:sz w:val="30"/>
        </w:rPr>
        <w:t xml:space="preserve">5.3.2 </w:t>
      </w:r>
      <w:r>
        <w:rPr>
          <w:rFonts w:eastAsia="等线" w:ascii="Arial" w:cs="Arial" w:hAnsi="Arial"/>
          <w:b w:val="true"/>
          <w:sz w:val="30"/>
        </w:rPr>
        <w:t>主要角色/岗位活动说明</w:t>
      </w:r>
      <w:bookmarkEnd w:id="14"/>
    </w:p>
    <w:p>
      <w:pPr>
        <w:pStyle w:val="4"/>
        <w:spacing w:before="260" w:after="120" w:line="288" w:lineRule="auto"/>
        <w:ind w:left="0"/>
        <w:jc w:val="left"/>
        <w:outlineLvl w:val="3"/>
      </w:pPr>
      <w:bookmarkStart w:name="heading_15" w:id="15"/>
      <w:r>
        <w:rPr>
          <w:rFonts w:eastAsia="等线" w:ascii="Arial" w:cs="Arial" w:hAnsi="Arial"/>
          <w:b w:val="true"/>
          <w:color w:val="245bdb"/>
          <w:sz w:val="28"/>
        </w:rPr>
        <w:t xml:space="preserve">5.3.2.1 </w:t>
      </w:r>
      <w:r>
        <w:rPr>
          <w:rFonts w:eastAsia="等线" w:ascii="Arial" w:cs="Arial" w:hAnsi="Arial"/>
          <w:b w:val="true"/>
          <w:sz w:val="28"/>
        </w:rPr>
        <w:t xml:space="preserve"> 战略合作执行代表活动说明：</w:t>
      </w:r>
      <w:bookmarkEnd w:id="15"/>
    </w:p>
    <w:p>
      <w:pPr>
        <w:spacing w:before="120" w:after="120" w:line="288" w:lineRule="auto"/>
        <w:ind w:left="0" w:firstLine="0"/>
        <w:jc w:val="left"/>
      </w:pPr>
      <w:r>
        <w:rPr>
          <w:rFonts w:eastAsia="等线" w:ascii="Arial" w:cs="Arial" w:hAnsi="Arial"/>
          <w:sz w:val="22"/>
        </w:rPr>
        <w:t>战略合作执行代表（含：行业销售、行业经理、行业营销等角色）</w:t>
      </w:r>
    </w:p>
    <w:p>
      <w:pPr>
        <w:spacing w:before="120" w:after="120" w:line="288" w:lineRule="auto"/>
        <w:ind w:left="0" w:firstLine="0"/>
        <w:jc w:val="center"/>
      </w:pPr>
      <w:r>
        <w:rPr>
          <w:rFonts w:eastAsia="等线" w:ascii="Arial" w:cs="Arial" w:hAnsi="Arial"/>
          <w:b w:val="true"/>
          <w:sz w:val="22"/>
        </w:rPr>
        <w:t>点击图片可查看完整电子表格</w:t>
      </w:r>
    </w:p>
    <w:p>
      <w:pPr>
        <w:spacing w:before="120" w:after="120" w:line="288" w:lineRule="auto"/>
        <w:ind w:left="0" w:firstLine="0"/>
        <w:jc w:val="left"/>
      </w:pPr>
    </w:p>
    <w:p>
      <w:pPr>
        <w:pStyle w:val="4"/>
        <w:spacing w:before="260" w:after="120" w:line="288" w:lineRule="auto"/>
        <w:ind w:left="0"/>
        <w:jc w:val="left"/>
        <w:outlineLvl w:val="3"/>
      </w:pPr>
      <w:bookmarkStart w:name="heading_16" w:id="16"/>
      <w:r>
        <w:rPr>
          <w:rFonts w:eastAsia="等线" w:ascii="Arial" w:cs="Arial" w:hAnsi="Arial"/>
          <w:b w:val="true"/>
          <w:color w:val="245bdb"/>
          <w:sz w:val="28"/>
        </w:rPr>
        <w:t xml:space="preserve">5.3.2.2 </w:t>
      </w:r>
      <w:r>
        <w:rPr>
          <w:rFonts w:eastAsia="等线" w:ascii="Arial" w:cs="Arial" w:hAnsi="Arial"/>
          <w:b w:val="true"/>
          <w:sz w:val="28"/>
        </w:rPr>
        <w:t>战略合作决策代表活动说明</w:t>
      </w:r>
      <w:bookmarkEnd w:id="16"/>
    </w:p>
    <w:p>
      <w:pPr>
        <w:spacing w:before="120" w:after="120" w:line="288" w:lineRule="auto"/>
        <w:ind w:left="0" w:firstLine="0"/>
        <w:jc w:val="left"/>
      </w:pPr>
      <w:r>
        <w:rPr>
          <w:rFonts w:eastAsia="等线" w:ascii="Arial" w:cs="Arial" w:hAnsi="Arial"/>
          <w:sz w:val="22"/>
        </w:rPr>
        <w:t>战略合作决策代表（含：区域经理、系统部总经理、EBG总经理等部门关键资源决策、战略目标决策的角色）</w:t>
      </w:r>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7" w:id="17"/>
      <w:r>
        <w:rPr>
          <w:rFonts w:eastAsia="等线" w:ascii="Arial" w:cs="Arial" w:hAnsi="Arial"/>
          <w:b w:val="true"/>
          <w:sz w:val="28"/>
        </w:rPr>
        <w:t xml:space="preserve"> </w:t>
      </w:r>
      <w:bookmarkEnd w:id="17"/>
    </w:p>
    <w:p>
      <w:pPr>
        <w:pStyle w:val="4"/>
        <w:spacing w:before="260" w:after="120" w:line="288" w:lineRule="auto"/>
        <w:ind w:left="0"/>
        <w:jc w:val="left"/>
        <w:outlineLvl w:val="3"/>
      </w:pPr>
      <w:bookmarkStart w:name="heading_18" w:id="18"/>
      <w:r>
        <w:rPr>
          <w:rFonts w:eastAsia="等线" w:ascii="Arial" w:cs="Arial" w:hAnsi="Arial"/>
          <w:b w:val="true"/>
          <w:color w:val="245bdb"/>
          <w:sz w:val="28"/>
        </w:rPr>
        <w:t xml:space="preserve">5.3.2.3 </w:t>
      </w:r>
      <w:r>
        <w:rPr>
          <w:rFonts w:eastAsia="等线" w:ascii="Arial" w:cs="Arial" w:hAnsi="Arial"/>
          <w:b w:val="true"/>
          <w:sz w:val="28"/>
        </w:rPr>
        <w:t>战略合作支撑代表活动说明：</w:t>
      </w:r>
      <w:bookmarkEnd w:id="18"/>
    </w:p>
    <w:p>
      <w:pPr>
        <w:spacing w:before="120" w:after="120" w:line="288" w:lineRule="auto"/>
        <w:ind w:left="0" w:firstLine="0"/>
        <w:jc w:val="left"/>
      </w:pPr>
      <w:r>
        <w:rPr>
          <w:rFonts w:eastAsia="等线" w:ascii="Arial" w:cs="Arial" w:hAnsi="Arial"/>
          <w:sz w:val="22"/>
        </w:rPr>
        <w:t>战略合作支撑代表（含：产品经理、研发、售后经理等负责测试、产品方案技术对接的角色）</w:t>
      </w:r>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9" w:id="19"/>
      <w:bookmarkEnd w:id="19"/>
    </w:p>
    <w:p>
      <w:pPr>
        <w:pStyle w:val="2"/>
        <w:spacing w:before="320" w:after="120" w:line="288" w:lineRule="auto"/>
        <w:ind w:left="0"/>
        <w:jc w:val="left"/>
        <w:outlineLvl w:val="1"/>
      </w:pPr>
      <w:bookmarkStart w:name="heading_20" w:id="20"/>
      <w:r>
        <w:rPr>
          <w:rFonts w:eastAsia="等线" w:ascii="Arial" w:cs="Arial" w:hAnsi="Arial"/>
          <w:b w:val="true"/>
          <w:color w:val="245bdb"/>
          <w:sz w:val="32"/>
        </w:rPr>
        <w:t xml:space="preserve">5.4 </w:t>
      </w:r>
      <w:r>
        <w:rPr>
          <w:rFonts w:eastAsia="等线" w:ascii="Arial" w:cs="Arial" w:hAnsi="Arial"/>
          <w:b w:val="true"/>
          <w:sz w:val="32"/>
        </w:rPr>
        <w:t>KCP/KDP说明及指导书</w:t>
      </w:r>
      <w:bookmarkEnd w:id="20"/>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005"/>
        <w:gridCol w:w="1350"/>
        <w:gridCol w:w="1515"/>
        <w:gridCol w:w="2535"/>
        <w:gridCol w:w="88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KCP/KDP说明</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KCP/KDP负责人</w:t>
            </w:r>
          </w:p>
        </w:tc>
        <w:tc>
          <w:tcPr>
            <w:tcW w:w="25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战略合作伙伴的选择</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筛选合作伙伴并确定优选合作目标</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通过该控制点，保证对战略合作伙伴的选择与规划及目标一致，确保合作的有效性和目的性。</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战略合作决策代表</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《战略合作伙伴筛选评估指导书V0.9》</w:t>
            </w:r>
          </w:p>
          <w:p>
            <w:pPr>
              <w:spacing w:before="120" w:after="120" w:line="288" w:lineRule="auto"/>
              <w:ind w:left="0"/>
              <w:jc w:val="left"/>
            </w:pPr>
            <w:hyperlink r:id="rId12">
              <w:r>
                <w:rPr>
                  <w:rFonts w:eastAsia="等线" w:ascii="Arial" w:cs="Arial" w:hAnsi="Arial"/>
                  <w:color w:val="3370ff"/>
                  <w:sz w:val="22"/>
                </w:rPr>
                <w:t>战略合作伙伴筛选评估指导书V0.9</w:t>
              </w:r>
            </w:hyperlink>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推动战略合作达成</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合作框架评审</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通过该控制点，保证对战略合作伙伴合作的协议有效、合规和可达成，确保可达成合作目的和双赢。</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战略合作决策代表</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《合作框架评审指导书》</w:t>
            </w:r>
          </w:p>
          <w:p>
            <w:pPr>
              <w:spacing w:before="120" w:after="120" w:line="288" w:lineRule="auto"/>
              <w:ind w:left="0"/>
              <w:jc w:val="left"/>
            </w:pPr>
            <w:hyperlink r:id="rId13">
              <w:r>
                <w:rPr>
                  <w:rFonts w:eastAsia="等线" w:ascii="Arial" w:cs="Arial" w:hAnsi="Arial"/>
                  <w:color w:val="3370ff"/>
                  <w:sz w:val="22"/>
                </w:rPr>
                <w:t>合作框架评审指导书</w:t>
              </w:r>
            </w:hyperlink>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r>
    </w:tbl>
    <w:p>
      <w:pPr>
        <w:pStyle w:val="1"/>
        <w:spacing w:before="380" w:after="140" w:line="288" w:lineRule="auto"/>
        <w:ind w:left="0"/>
        <w:jc w:val="left"/>
        <w:outlineLvl w:val="0"/>
      </w:pPr>
      <w:bookmarkStart w:name="heading_21" w:id="21"/>
      <w:r>
        <w:rPr>
          <w:rFonts w:eastAsia="等线" w:ascii="Arial" w:cs="Arial" w:hAnsi="Arial"/>
          <w:b w:val="true"/>
          <w:color w:val="245bdb"/>
          <w:sz w:val="36"/>
        </w:rPr>
        <w:t xml:space="preserve">6. </w:t>
      </w:r>
      <w:r>
        <w:rPr>
          <w:rFonts w:eastAsia="等线" w:ascii="Arial" w:cs="Arial" w:hAnsi="Arial"/>
          <w:b w:val="true"/>
          <w:sz w:val="36"/>
        </w:rPr>
        <w:t>解释权限及生效日期</w:t>
      </w:r>
      <w:bookmarkEnd w:id="21"/>
    </w:p>
    <w:p>
      <w:pPr>
        <w:spacing w:before="120" w:after="120" w:line="288" w:lineRule="auto"/>
        <w:ind w:left="0" w:firstLine="0"/>
        <w:jc w:val="left"/>
      </w:pPr>
      <w:r>
        <w:rPr>
          <w:rFonts w:eastAsia="等线" w:ascii="Arial" w:cs="Arial" w:hAnsi="Arial"/>
          <w:sz w:val="22"/>
        </w:rPr>
        <w:t>本文档的解释权归属流程管理部。</w:t>
      </w:r>
    </w:p>
    <w:p>
      <w:pPr>
        <w:spacing w:before="120" w:after="120" w:line="288" w:lineRule="auto"/>
        <w:ind w:left="0" w:firstLine="0"/>
        <w:jc w:val="left"/>
      </w:pPr>
      <w:r>
        <w:rPr>
          <w:rFonts w:eastAsia="等线" w:ascii="Arial" w:cs="Arial" w:hAnsi="Arial"/>
          <w:sz w:val="22"/>
        </w:rPr>
        <w:t>本文档自发布之日起至V1.0版本发布前生效。</w:t>
      </w:r>
    </w:p>
    <w:p>
      <w:pPr>
        <w:spacing w:before="120" w:after="120" w:line="288" w:lineRule="auto"/>
        <w:ind w:left="0" w:firstLine="0"/>
        <w:jc w:val="left"/>
      </w:pP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82248">
    <w:lvl>
      <w:numFmt w:val="bullet"/>
      <w:suff w:val="tab"/>
      <w:lvlText w:val="•"/>
      <w:rPr>
        <w:color w:val="3370ff"/>
      </w:rPr>
    </w:lvl>
  </w:abstractNum>
  <w:abstractNum w:abstractNumId="82249">
    <w:lvl>
      <w:numFmt w:val="bullet"/>
      <w:suff w:val="tab"/>
      <w:lvlText w:val="•"/>
      <w:rPr>
        <w:color w:val="3370ff"/>
      </w:rPr>
    </w:lvl>
  </w:abstractNum>
  <w:abstractNum w:abstractNumId="82250">
    <w:lvl>
      <w:numFmt w:val="bullet"/>
      <w:suff w:val="tab"/>
      <w:lvlText w:val="•"/>
      <w:rPr>
        <w:color w:val="3370ff"/>
      </w:rPr>
    </w:lvl>
  </w:abstractNum>
  <w:abstractNum w:abstractNumId="82251">
    <w:lvl>
      <w:numFmt w:val="bullet"/>
      <w:suff w:val="tab"/>
      <w:lvlText w:val="•"/>
      <w:rPr>
        <w:color w:val="3370ff"/>
      </w:rPr>
    </w:lvl>
  </w:abstractNum>
  <w:abstractNum w:abstractNumId="82252">
    <w:lvl>
      <w:start w:val="1"/>
      <w:numFmt w:val="decimal"/>
      <w:suff w:val="tab"/>
      <w:lvlText w:val="%1."/>
      <w:rPr>
        <w:color w:val="3370ff"/>
      </w:rPr>
    </w:lvl>
  </w:abstractNum>
  <w:abstractNum w:abstractNumId="82253">
    <w:lvl>
      <w:start w:val="1"/>
      <w:numFmt w:val="decimal"/>
      <w:suff w:val="tab"/>
      <w:lvlText w:val="%1."/>
      <w:rPr>
        <w:color w:val="3370ff"/>
      </w:rPr>
    </w:lvl>
  </w:abstractNum>
  <w:abstractNum w:abstractNumId="82254">
    <w:lvl>
      <w:start w:val="2"/>
      <w:numFmt w:val="decimal"/>
      <w:suff w:val="tab"/>
      <w:lvlText w:val="%1."/>
      <w:rPr>
        <w:color w:val="3370ff"/>
      </w:rPr>
    </w:lvl>
  </w:abstractNum>
  <w:abstractNum w:abstractNumId="82255">
    <w:lvl>
      <w:start w:val="3"/>
      <w:numFmt w:val="decimal"/>
      <w:suff w:val="tab"/>
      <w:lvlText w:val="%1."/>
      <w:rPr>
        <w:color w:val="3370ff"/>
      </w:rPr>
    </w:lvl>
  </w:abstractNum>
  <w:abstractNum w:abstractNumId="82256">
    <w:lvl>
      <w:start w:val="1"/>
      <w:numFmt w:val="decimal"/>
      <w:suff w:val="tab"/>
      <w:lvlText w:val="%1."/>
      <w:rPr>
        <w:color w:val="3370ff"/>
      </w:rPr>
    </w:lvl>
  </w:abstractNum>
  <w:abstractNum w:abstractNumId="82257">
    <w:lvl>
      <w:start w:val="2"/>
      <w:numFmt w:val="decimal"/>
      <w:suff w:val="tab"/>
      <w:lvlText w:val="%1."/>
      <w:rPr>
        <w:color w:val="3370ff"/>
      </w:rPr>
    </w:lvl>
  </w:abstractNum>
  <w:abstractNum w:abstractNumId="82258">
    <w:lvl>
      <w:start w:val="3"/>
      <w:numFmt w:val="decimal"/>
      <w:suff w:val="tab"/>
      <w:lvlText w:val="%1."/>
      <w:rPr>
        <w:color w:val="3370ff"/>
      </w:rPr>
    </w:lvl>
  </w:abstractNum>
  <w:abstractNum w:abstractNumId="82259">
    <w:lvl>
      <w:start w:val="1"/>
      <w:numFmt w:val="lowerLetter"/>
      <w:suff w:val="tab"/>
      <w:lvlText w:val="%1."/>
      <w:rPr>
        <w:color w:val="3370ff"/>
      </w:rPr>
    </w:lvl>
  </w:abstractNum>
  <w:abstractNum w:abstractNumId="82260">
    <w:lvl>
      <w:start w:val="2"/>
      <w:numFmt w:val="lowerLetter"/>
      <w:suff w:val="tab"/>
      <w:lvlText w:val="%1."/>
      <w:rPr>
        <w:color w:val="3370ff"/>
      </w:rPr>
    </w:lvl>
  </w:abstractNum>
  <w:abstractNum w:abstractNumId="82261">
    <w:lvl>
      <w:start w:val="3"/>
      <w:numFmt w:val="lowerLetter"/>
      <w:suff w:val="tab"/>
      <w:lvlText w:val="%1."/>
      <w:rPr>
        <w:color w:val="3370ff"/>
      </w:rPr>
    </w:lvl>
  </w:abstractNum>
  <w:abstractNum w:abstractNumId="82262">
    <w:lvl>
      <w:start w:val="1"/>
      <w:numFmt w:val="decimal"/>
      <w:suff w:val="tab"/>
      <w:lvlText w:val="%1."/>
      <w:rPr>
        <w:color w:val="3370ff"/>
      </w:rPr>
    </w:lvl>
  </w:abstractNum>
  <w:abstractNum w:abstractNumId="82263">
    <w:lvl>
      <w:numFmt w:val="bullet"/>
      <w:suff w:val="tab"/>
      <w:lvlText w:val="•"/>
      <w:rPr>
        <w:color w:val="3370ff"/>
      </w:rPr>
    </w:lvl>
  </w:abstractNum>
  <w:abstractNum w:abstractNumId="82264">
    <w:lvl>
      <w:numFmt w:val="bullet"/>
      <w:suff w:val="tab"/>
      <w:lvlText w:val="•"/>
      <w:rPr>
        <w:color w:val="3370ff"/>
      </w:rPr>
    </w:lvl>
  </w:abstractNum>
  <w:abstractNum w:abstractNumId="82265">
    <w:lvl>
      <w:numFmt w:val="bullet"/>
      <w:suff w:val="tab"/>
      <w:lvlText w:val="•"/>
      <w:rPr>
        <w:color w:val="3370ff"/>
      </w:rPr>
    </w:lvl>
  </w:abstractNum>
  <w:abstractNum w:abstractNumId="82266">
    <w:lvl>
      <w:numFmt w:val="bullet"/>
      <w:suff w:val="tab"/>
      <w:lvlText w:val="•"/>
      <w:rPr>
        <w:color w:val="3370ff"/>
      </w:rPr>
    </w:lvl>
  </w:abstractNum>
  <w:abstractNum w:abstractNumId="82267">
    <w:lvl>
      <w:start w:val="2"/>
      <w:numFmt w:val="decimal"/>
      <w:suff w:val="tab"/>
      <w:lvlText w:val="%1."/>
      <w:rPr>
        <w:color w:val="3370ff"/>
      </w:rPr>
    </w:lvl>
  </w:abstractNum>
  <w:abstractNum w:abstractNumId="82268">
    <w:lvl>
      <w:start w:val="3"/>
      <w:numFmt w:val="decimal"/>
      <w:suff w:val="tab"/>
      <w:lvlText w:val="%1."/>
      <w:rPr>
        <w:color w:val="3370ff"/>
      </w:rPr>
    </w:lvl>
  </w:abstractNum>
  <w:abstractNum w:abstractNumId="82269">
    <w:lvl>
      <w:start w:val="1"/>
      <w:numFmt w:val="decimal"/>
      <w:suff w:val="tab"/>
      <w:lvlText w:val="%1."/>
      <w:rPr>
        <w:color w:val="3370ff"/>
      </w:rPr>
    </w:lvl>
  </w:abstractNum>
  <w:abstractNum w:abstractNumId="82270">
    <w:lvl>
      <w:start w:val="2"/>
      <w:numFmt w:val="decimal"/>
      <w:suff w:val="tab"/>
      <w:lvlText w:val="%1."/>
      <w:rPr>
        <w:color w:val="3370ff"/>
      </w:rPr>
    </w:lvl>
  </w:abstractNum>
  <w:abstractNum w:abstractNumId="82271">
    <w:lvl>
      <w:start w:val="1"/>
      <w:numFmt w:val="decimal"/>
      <w:suff w:val="tab"/>
      <w:lvlText w:val="%1."/>
      <w:rPr>
        <w:color w:val="3370ff"/>
      </w:rPr>
    </w:lvl>
  </w:abstractNum>
  <w:abstractNum w:abstractNumId="82272">
    <w:lvl>
      <w:start w:val="1"/>
      <w:numFmt w:val="lowerLetter"/>
      <w:suff w:val="tab"/>
      <w:lvlText w:val="%1."/>
      <w:rPr>
        <w:color w:val="3370ff"/>
      </w:rPr>
    </w:lvl>
  </w:abstractNum>
  <w:abstractNum w:abstractNumId="82273">
    <w:lvl>
      <w:start w:val="2"/>
      <w:numFmt w:val="lowerLetter"/>
      <w:suff w:val="tab"/>
      <w:lvlText w:val="%1."/>
      <w:rPr>
        <w:color w:val="3370ff"/>
      </w:rPr>
    </w:lvl>
  </w:abstractNum>
  <w:abstractNum w:abstractNumId="82274">
    <w:lvl>
      <w:start w:val="3"/>
      <w:numFmt w:val="lowerLetter"/>
      <w:suff w:val="tab"/>
      <w:lvlText w:val="%1."/>
      <w:rPr>
        <w:color w:val="3370ff"/>
      </w:rPr>
    </w:lvl>
  </w:abstractNum>
  <w:abstractNum w:abstractNumId="82275">
    <w:lvl>
      <w:start w:val="1"/>
      <w:numFmt w:val="decimal"/>
      <w:suff w:val="tab"/>
      <w:lvlText w:val="%1."/>
      <w:rPr>
        <w:color w:val="3370ff"/>
      </w:rPr>
    </w:lvl>
  </w:abstractNum>
  <w:abstractNum w:abstractNumId="82276">
    <w:lvl>
      <w:start w:val="2"/>
      <w:numFmt w:val="decimal"/>
      <w:suff w:val="tab"/>
      <w:lvlText w:val="%1."/>
      <w:rPr>
        <w:color w:val="3370ff"/>
      </w:rPr>
    </w:lvl>
  </w:abstractNum>
  <w:abstractNum w:abstractNumId="82277">
    <w:lvl>
      <w:start w:val="3"/>
      <w:numFmt w:val="decimal"/>
      <w:suff w:val="tab"/>
      <w:lvlText w:val="%1."/>
      <w:rPr>
        <w:color w:val="3370ff"/>
      </w:rPr>
    </w:lvl>
  </w:abstractNum>
  <w:abstractNum w:abstractNumId="82278">
    <w:lvl>
      <w:start w:val="1"/>
      <w:numFmt w:val="decimal"/>
      <w:suff w:val="tab"/>
      <w:lvlText w:val="%1."/>
      <w:rPr>
        <w:color w:val="3370ff"/>
      </w:rPr>
    </w:lvl>
  </w:abstractNum>
  <w:abstractNum w:abstractNumId="82279">
    <w:lvl>
      <w:start w:val="1"/>
      <w:numFmt w:val="lowerLetter"/>
      <w:suff w:val="tab"/>
      <w:lvlText w:val="%1."/>
      <w:rPr>
        <w:color w:val="3370ff"/>
      </w:rPr>
    </w:lvl>
  </w:abstractNum>
  <w:abstractNum w:abstractNumId="82280">
    <w:lvl>
      <w:start w:val="2"/>
      <w:numFmt w:val="lowerLetter"/>
      <w:suff w:val="tab"/>
      <w:lvlText w:val="%1."/>
      <w:rPr>
        <w:color w:val="3370ff"/>
      </w:rPr>
    </w:lvl>
  </w:abstractNum>
  <w:abstractNum w:abstractNumId="82281">
    <w:lvl>
      <w:start w:val="2"/>
      <w:numFmt w:val="decimal"/>
      <w:suff w:val="tab"/>
      <w:lvlText w:val="%1."/>
      <w:rPr>
        <w:color w:val="3370ff"/>
      </w:rPr>
    </w:lvl>
  </w:abstractNum>
  <w:abstractNum w:abstractNumId="82282">
    <w:lvl>
      <w:start w:val="1"/>
      <w:numFmt w:val="lowerLetter"/>
      <w:suff w:val="tab"/>
      <w:lvlText w:val="%1."/>
      <w:rPr>
        <w:color w:val="3370ff"/>
      </w:rPr>
    </w:lvl>
  </w:abstractNum>
  <w:abstractNum w:abstractNumId="82283">
    <w:lvl>
      <w:start w:val="2"/>
      <w:numFmt w:val="lowerLetter"/>
      <w:suff w:val="tab"/>
      <w:lvlText w:val="%1."/>
      <w:rPr>
        <w:color w:val="3370ff"/>
      </w:rPr>
    </w:lvl>
  </w:abstractNum>
  <w:abstractNum w:abstractNumId="82284">
    <w:lvl>
      <w:start w:val="1"/>
      <w:numFmt w:val="decimal"/>
      <w:suff w:val="tab"/>
      <w:lvlText w:val="%1."/>
      <w:rPr>
        <w:color w:val="3370ff"/>
      </w:rPr>
    </w:lvl>
  </w:abstractNum>
  <w:abstractNum w:abstractNumId="82285">
    <w:lvl>
      <w:start w:val="2"/>
      <w:numFmt w:val="decimal"/>
      <w:suff w:val="tab"/>
      <w:lvlText w:val="%1."/>
      <w:rPr>
        <w:color w:val="3370ff"/>
      </w:rPr>
    </w:lvl>
  </w:abstractNum>
  <w:num w:numId="1">
    <w:abstractNumId w:val="82248"/>
  </w:num>
  <w:num w:numId="2">
    <w:abstractNumId w:val="82249"/>
  </w:num>
  <w:num w:numId="3">
    <w:abstractNumId w:val="82250"/>
  </w:num>
  <w:num w:numId="4">
    <w:abstractNumId w:val="82251"/>
  </w:num>
  <w:num w:numId="5">
    <w:abstractNumId w:val="82252"/>
  </w:num>
  <w:num w:numId="6">
    <w:abstractNumId w:val="82253"/>
  </w:num>
  <w:num w:numId="7">
    <w:abstractNumId w:val="82254"/>
  </w:num>
  <w:num w:numId="8">
    <w:abstractNumId w:val="82255"/>
  </w:num>
  <w:num w:numId="9">
    <w:abstractNumId w:val="82256"/>
  </w:num>
  <w:num w:numId="10">
    <w:abstractNumId w:val="82257"/>
  </w:num>
  <w:num w:numId="11">
    <w:abstractNumId w:val="82258"/>
  </w:num>
  <w:num w:numId="12">
    <w:abstractNumId w:val="82259"/>
  </w:num>
  <w:num w:numId="13">
    <w:abstractNumId w:val="82260"/>
  </w:num>
  <w:num w:numId="14">
    <w:abstractNumId w:val="82261"/>
  </w:num>
  <w:num w:numId="15">
    <w:abstractNumId w:val="82262"/>
  </w:num>
  <w:num w:numId="16">
    <w:abstractNumId w:val="82263"/>
  </w:num>
  <w:num w:numId="17">
    <w:abstractNumId w:val="82264"/>
  </w:num>
  <w:num w:numId="18">
    <w:abstractNumId w:val="82265"/>
  </w:num>
  <w:num w:numId="19">
    <w:abstractNumId w:val="82266"/>
  </w:num>
  <w:num w:numId="20">
    <w:abstractNumId w:val="82267"/>
  </w:num>
  <w:num w:numId="21">
    <w:abstractNumId w:val="82268"/>
  </w:num>
  <w:num w:numId="22">
    <w:abstractNumId w:val="82269"/>
  </w:num>
  <w:num w:numId="23">
    <w:abstractNumId w:val="82270"/>
  </w:num>
  <w:num w:numId="24">
    <w:abstractNumId w:val="82271"/>
  </w:num>
  <w:num w:numId="25">
    <w:abstractNumId w:val="82272"/>
  </w:num>
  <w:num w:numId="26">
    <w:abstractNumId w:val="82273"/>
  </w:num>
  <w:num w:numId="27">
    <w:abstractNumId w:val="82274"/>
  </w:num>
  <w:num w:numId="28">
    <w:abstractNumId w:val="82275"/>
  </w:num>
  <w:num w:numId="29">
    <w:abstractNumId w:val="82276"/>
  </w:num>
  <w:num w:numId="30">
    <w:abstractNumId w:val="82277"/>
  </w:num>
  <w:num w:numId="31">
    <w:abstractNumId w:val="82278"/>
  </w:num>
  <w:num w:numId="32">
    <w:abstractNumId w:val="82279"/>
  </w:num>
  <w:num w:numId="33">
    <w:abstractNumId w:val="82280"/>
  </w:num>
  <w:num w:numId="34">
    <w:abstractNumId w:val="82281"/>
  </w:num>
  <w:num w:numId="35">
    <w:abstractNumId w:val="82282"/>
  </w:num>
  <w:num w:numId="36">
    <w:abstractNumId w:val="82283"/>
  </w:num>
  <w:num w:numId="37">
    <w:abstractNumId w:val="82284"/>
  </w:num>
  <w:num w:numId="38">
    <w:abstractNumId w:val="8228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docx/LSagduLi1orgAHxSFP3cEHA1nMc" TargetMode="External" Type="http://schemas.openxmlformats.org/officeDocument/2006/relationships/hyperlink"/><Relationship Id="rId11" Target="https://ruijie.feishu.cn/docx/QNv8dSHcBoLCDyxf2OLchz1gnYb" TargetMode="External" Type="http://schemas.openxmlformats.org/officeDocument/2006/relationships/hyperlink"/><Relationship Id="rId12" Target="https://ruijie.feishu.cn/docx/BOM1dWo0aoDNGtxtLLDcAJ4kntd" TargetMode="External" Type="http://schemas.openxmlformats.org/officeDocument/2006/relationships/hyperlink"/><Relationship Id="rId13" Target="https://ruijie.feishu.cn/docx/LSagduLi1orgAHxSFP3cEHA1nMc"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https://ruijie.feishu.cn/docx/BOM1dWo0aoDNGtxtLLDcAJ4kntd"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2025-05-14T01:47:35Z</dcterms:created>
  <dc:creator>Apache POI</dc:creator>
</cp:coreProperties>
</file>