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“漏斗T的指标管理”复盘分析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“做准N和T”推进的节奏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项目执行计划：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IT需求：</w:t>
      </w:r>
      <w:hyperlink r:id="rId6">
        <w:r>
          <w:rPr>
            <w:rFonts w:eastAsia="等线" w:ascii="Arial" w:cs="Arial" w:hAnsi="Arial"/>
            <w:color w:val="3370ff"/>
            <w:sz w:val="22"/>
          </w:rPr>
          <w:t>MTCV流程-N、T改善PRD文档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数据指标当前怎么样？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EBG"下单时间准确率"、“要货时间准确率”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因“N和T”的全面推行实践，是从9月12日开始的，目前截止9月份的“下单时间准确率”和“要货时间准确率” 数据 还没有体现出实践的效果。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上海、山东试点区域数据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下单时间准确率：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上海，</w:t>
            </w:r>
            <w:r>
              <w:rPr>
                <w:rFonts w:eastAsia="等线" w:ascii="Arial" w:cs="Arial" w:hAnsi="Arial"/>
                <w:b w:val="true"/>
                <w:sz w:val="22"/>
              </w:rPr>
              <w:t>8月M-0做到 92%，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 xml:space="preserve">9月的M-0 做到67%、M-1做到33%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山东，</w:t>
            </w:r>
            <w:r>
              <w:rPr>
                <w:rFonts w:eastAsia="等线" w:ascii="Arial" w:cs="Arial" w:hAnsi="Arial"/>
                <w:b w:val="true"/>
                <w:sz w:val="22"/>
              </w:rPr>
              <w:t>8月M-0做到 92%，9月的M-0 做到94%、M-1做到73%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要货时间准确率：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上海，</w:t>
            </w:r>
            <w:r>
              <w:rPr>
                <w:rFonts w:eastAsia="等线" w:ascii="Arial" w:cs="Arial" w:hAnsi="Arial"/>
                <w:b w:val="true"/>
                <w:sz w:val="22"/>
              </w:rPr>
              <w:t>8月M-0 67%，9月M-0 50%，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M-1 33%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山东，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8月M-0 25%，9月M-0 31%，</w:t>
            </w:r>
            <w:r>
              <w:rPr>
                <w:rFonts w:eastAsia="等线" w:ascii="Arial" w:cs="Arial" w:hAnsi="Arial"/>
                <w:sz w:val="22"/>
              </w:rPr>
              <w:t xml:space="preserve"> M-1 73%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下单时间-上海区域，做的不准的项目是什么情况？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上海区域9月的 下单时间 M-0做的不准的项目清单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14" o:title=""/>
          </v:shape>
          <o:OLEObject DrawAspect="Icon" ObjectID="_1718471219" ProgID="Excel.Sheet.12" ShapeID="_x0000_i1025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上海区域9月的 下单时间 M-1做的不准的项目清单</w:t>
      </w:r>
    </w:p>
    <w:p>
      <w:pPr>
        <w:spacing w:before="120" w:after="120" w:line="288" w:lineRule="auto"/>
        <w:ind w:left="0"/>
      </w:pPr>
      <w:r>
        <w:object>
          <v:shape id="_x0000_i1026" style="width:414pt;height:80pt;mso-width-percent:0;mso-height-percent:0;mso-width-percent:0;mso-height-percent:0" type="#_x0000_t75" o:ole="">
            <v:imagedata r:id="rId16" o:title=""/>
          </v:shape>
          <o:OLEObject DrawAspect="Icon" ObjectID="_1718471220" ProgID="Excel.Sheet.12" ShapeID="_x0000_i1026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>9月</w:t>
            </w:r>
            <w:r>
              <w:rPr>
                <w:rFonts w:eastAsia="等线" w:ascii="Arial" w:cs="Arial" w:hAnsi="Arial"/>
                <w:sz w:val="22"/>
              </w:rPr>
              <w:t>M-0</w:t>
            </w:r>
            <w:r>
              <w:rPr>
                <w:rFonts w:eastAsia="等线" w:ascii="Arial" w:cs="Arial" w:hAnsi="Arial"/>
                <w:sz w:val="22"/>
              </w:rPr>
              <w:t>，M-1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1）企业项目（挨西拉），按照客户需求分批下单，客户需求灵活-</w:t>
            </w:r>
            <w:r>
              <w:rPr>
                <w:rFonts w:eastAsia="等线" w:ascii="Arial" w:cs="Arial" w:hAnsi="Arial"/>
                <w:b w:val="true"/>
                <w:i w:val="true"/>
                <w:color w:val="2ea121"/>
                <w:sz w:val="22"/>
                <w:u w:val="single"/>
              </w:rPr>
              <w:t>可以避免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2）AIGC项目，没签署合同，并且要货计划客户没有明确，销售按“下单时间”的指导操作，也没做准</w:t>
            </w:r>
            <w:r>
              <w:rPr>
                <w:rFonts w:eastAsia="等线" w:ascii="Arial" w:cs="Arial" w:hAnsi="Arial"/>
                <w:b w:val="true"/>
                <w:i w:val="true"/>
                <w:color w:val="245bdb"/>
                <w:sz w:val="22"/>
              </w:rPr>
              <w:t>-该类型的项目预测下单时间的方法可能需要精进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2）订单类型为销售借用订单，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不应进入下单时间准确-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 xml:space="preserve"> 数据统计问题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上海区域8、9、10 更多没有做准的项目（未预测下单，预测未下单）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8" o:title=""/>
          </v:shape>
          <o:OLEObject DrawAspect="Icon" ObjectID="_1718471221" ProgID="Excel.Sheet.12" ShapeID="_x0000_i1027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1)未预测下单</w:t>
            </w:r>
            <w:r>
              <w:rPr>
                <w:rFonts w:eastAsia="等线" w:ascii="Arial" w:cs="Arial" w:hAnsi="Arial"/>
                <w:sz w:val="22"/>
              </w:rPr>
              <w:t>，9个项目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个</w:t>
            </w:r>
            <w:r>
              <w:rPr>
                <w:rFonts w:eastAsia="等线" w:ascii="Arial" w:cs="Arial" w:hAnsi="Arial"/>
                <w:sz w:val="22"/>
              </w:rPr>
              <w:t>翻盘</w:t>
            </w:r>
            <w:r>
              <w:rPr>
                <w:rFonts w:eastAsia="等线" w:ascii="Arial" w:cs="Arial" w:hAnsi="Arial"/>
                <w:sz w:val="22"/>
              </w:rPr>
              <w:t>项目</w:t>
            </w:r>
            <w:r>
              <w:rPr>
                <w:rFonts w:eastAsia="等线" w:ascii="Arial" w:cs="Arial" w:hAnsi="Arial"/>
                <w:sz w:val="22"/>
              </w:rPr>
              <w:t>，1个AIGC没签署合同，1个资金没到位且着急要货-</w:t>
            </w:r>
            <w:r>
              <w:rPr>
                <w:rFonts w:eastAsia="等线" w:ascii="Arial" w:cs="Arial" w:hAnsi="Arial"/>
                <w:b w:val="true"/>
                <w:i w:val="true"/>
                <w:color w:val="de7802"/>
                <w:sz w:val="22"/>
                <w:u w:val="single"/>
              </w:rPr>
              <w:t>客观情况导致  占比33%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企业项目框采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个，按照客户需求分批下单，客户需求灵活-</w:t>
            </w:r>
            <w:r>
              <w:rPr>
                <w:rFonts w:eastAsia="等线" w:ascii="Arial" w:cs="Arial" w:hAnsi="Arial"/>
                <w:b w:val="true"/>
                <w:i w:val="true"/>
                <w:color w:val="245bdb"/>
                <w:sz w:val="22"/>
                <w:u w:val="single"/>
              </w:rPr>
              <w:t xml:space="preserve">框采分批下单类型项目，做准T的方法需要精进 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预测取值后创建的商机2个，</w:t>
            </w:r>
            <w:r>
              <w:rPr>
                <w:rFonts w:eastAsia="等线" w:ascii="Arial" w:cs="Arial" w:hAnsi="Arial"/>
                <w:sz w:val="22"/>
              </w:rPr>
              <w:t>AIGC增补项目，老客户零散资金采购，</w:t>
            </w:r>
            <w:r>
              <w:rPr>
                <w:rFonts w:eastAsia="等线" w:ascii="Arial" w:cs="Arial" w:hAnsi="Arial"/>
                <w:sz w:val="22"/>
              </w:rPr>
              <w:t>未及时了解到续采商机-</w:t>
            </w:r>
            <w:r>
              <w:rPr>
                <w:rFonts w:eastAsia="等线" w:ascii="Arial" w:cs="Arial" w:hAnsi="Arial"/>
                <w:b w:val="true"/>
                <w:i w:val="true"/>
                <w:color w:val="2ea121"/>
                <w:sz w:val="22"/>
                <w:u w:val="single"/>
              </w:rPr>
              <w:t>可以避免</w:t>
            </w:r>
            <w:r>
              <w:rPr>
                <w:rFonts w:eastAsia="等线" w:ascii="Arial" w:cs="Arial" w:hAnsi="Arial"/>
                <w:b w:val="true"/>
                <w:i w:val="true"/>
                <w:color w:val="2ea121"/>
                <w:sz w:val="22"/>
                <w:u w:val="single"/>
              </w:rPr>
              <w:t>，占比22%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销售没有与客户确认清楚要货计划1个-</w:t>
            </w:r>
            <w:r>
              <w:rPr>
                <w:rFonts w:eastAsia="等线" w:ascii="Arial" w:cs="Arial" w:hAnsi="Arial"/>
                <w:b w:val="true"/>
                <w:i w:val="true"/>
                <w:color w:val="2ea121"/>
                <w:sz w:val="22"/>
                <w:u w:val="single"/>
              </w:rPr>
              <w:t>执行问题，可以避免，占比11%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2)预测未下单</w:t>
            </w:r>
            <w:r>
              <w:rPr>
                <w:rFonts w:eastAsia="等线" w:ascii="Arial" w:cs="Arial" w:hAnsi="Arial"/>
                <w:sz w:val="22"/>
              </w:rPr>
              <w:t>，9个项目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3个质疑，1个流标，1个因资金问题被搁置-</w:t>
            </w:r>
            <w:r>
              <w:rPr>
                <w:rFonts w:eastAsia="等线" w:ascii="Arial" w:cs="Arial" w:hAnsi="Arial"/>
                <w:b w:val="true"/>
                <w:i w:val="true"/>
                <w:color w:val="de7802"/>
                <w:sz w:val="22"/>
                <w:u w:val="single"/>
              </w:rPr>
              <w:t>客观情况导致，不</w:t>
            </w:r>
            <w:r>
              <w:rPr>
                <w:rFonts w:eastAsia="等线" w:ascii="Arial" w:cs="Arial" w:hAnsi="Arial"/>
                <w:b w:val="true"/>
                <w:i w:val="true"/>
                <w:color w:val="de7802"/>
                <w:sz w:val="22"/>
                <w:u w:val="single"/>
              </w:rPr>
              <w:t>可避免</w:t>
            </w:r>
            <w:r>
              <w:rPr>
                <w:rFonts w:eastAsia="等线" w:ascii="Arial" w:cs="Arial" w:hAnsi="Arial"/>
                <w:b w:val="true"/>
                <w:i w:val="true"/>
                <w:color w:val="de7802"/>
                <w:sz w:val="22"/>
                <w:u w:val="single"/>
              </w:rPr>
              <w:t xml:space="preserve"> 占比 56%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1个金额缩水兑现(N不明确)，2个要货时间未明确准入预测，1个AIGC因总包资金未收齐项目搁置-</w:t>
            </w:r>
            <w:r>
              <w:rPr>
                <w:rFonts w:eastAsia="等线" w:ascii="Arial" w:cs="Arial" w:hAnsi="Arial"/>
                <w:b w:val="true"/>
                <w:i w:val="true"/>
                <w:color w:val="2ea121"/>
                <w:sz w:val="22"/>
                <w:u w:val="single"/>
              </w:rPr>
              <w:t>有机会可以做准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>）M-2 因为是7月19日才开始试点，数据目前体现不出来，待10月数据做复盘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上海区域9月“要货时间”  做的不准的项目清单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0" o:title=""/>
          </v:shape>
          <o:OLEObject DrawAspect="Icon" ObjectID="_1718471222" ProgID="Excel.Sheet.12" ShapeID="_x0000_i1028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复盘未发现因为未按照3T标准校准要货或者未及时更新CRM导致要货时间不准，不准的原因有如下几种：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原因1：系统原因，数据缺失——分批承诺预测下单项目缺少分批的要货时间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改善计划：需要在CRM分批承诺预测中增加要货时间的填写及对应的配置清单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原因2：特殊订单类型，如销售借用转销售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改善计划：后续在统计数据中，借转销订单类型不计入准确性统计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复盘过程中看到的问题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（一）系统与方法</w:t>
      </w:r>
      <w:r>
        <w:rPr>
          <w:rFonts w:eastAsia="等线" w:ascii="Arial" w:cs="Arial" w:hAnsi="Arial"/>
          <w:b w:val="true"/>
          <w:sz w:val="22"/>
        </w:rPr>
        <w:t>仍存在缺失</w:t>
      </w:r>
      <w:r>
        <w:rPr>
          <w:rFonts w:eastAsia="等线" w:ascii="Arial" w:cs="Arial" w:hAnsi="Arial"/>
          <w:b w:val="true"/>
          <w:sz w:val="22"/>
        </w:rPr>
        <w:t>：校准逻辑未落地，</w:t>
      </w:r>
      <w:r>
        <w:rPr>
          <w:rFonts w:eastAsia="等线" w:ascii="Arial" w:cs="Arial" w:hAnsi="Arial"/>
          <w:b w:val="true"/>
          <w:sz w:val="22"/>
        </w:rPr>
        <w:t>当前仍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b w:val="true"/>
          <w:sz w:val="22"/>
        </w:rPr>
        <w:t>销售主管</w:t>
      </w:r>
      <w:r>
        <w:rPr>
          <w:rFonts w:eastAsia="等线" w:ascii="Arial" w:cs="Arial" w:hAnsi="Arial"/>
          <w:b w:val="true"/>
          <w:sz w:val="22"/>
        </w:rPr>
        <w:t>判断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SLA 方案未上线，时间校准无依据原设计 “下单时间 = 要货时间 - SLA” 的科学校准逻辑，但 SLA 功能（含不同产品 SLA 分级、自动计算最晚下单时间）未按计划上线，导致销售无法通过系统自动推导下单时间，只能凭经验估算（如按 “客户要货前 1 个月” 模糊填写），偏差率高。例如上海区域 9 月 M-1 下单时间准确率仅 33%，部分项目因未考虑产品 SLA 差异（如数据中心产品 SLA 14 天、无线产品 7 天），导致估算偏差超 30 天。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EPC总包项目、AIGC项目、企业框采分批要货项目，由于项目本身的周期、资金、客户需求灵活等因素，导致销售按目前做准T的方法执行，下单和要货时间做准的概率较低，预测方法需要优化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（二）数据统计及口径的协同问题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销售与供应链统计口径不一致。供应链统计 “下单时间准” 以 ERP 实际订单时间为准，未区分 “借用转销售、测试转销售” 等订单类型；销管统计以 CRM 中销售填写的 “预计下单时间” 为准，二者未拉齐统计规则（如是否剔除借用转销售、测试转销售等订单类型），导致数据偏差（如供应链统计上海区域 9 月下单准确率 67%，销管统计为 83%）。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 系统未支持 “分批承诺预测” 的要货时间填写，部分项目需分批交付（如某项目分 3 批要货，分别为 9 月、10 月、11 月），但系统仅能录入总要货时间，无法拆分批次时间，导致供应链按总时间备货，实际按批次要货时出现 “备货过早 / 过晚”，要货时间准确率普遍偏低（上海、山东区域 M-0 要货准确率均低于 50%）。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要货时间的标准未对齐，当前做的标准是“自然月”统计，后续会调整为 “要货时间±15天”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（三）落地执行问题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M-2 阶段预测未纳入管控，当前区域 执行主要聚焦 M-0（当月）、M-1（隔月）下单时间管理，M-2（第三个月）预测缺乏明确执行要求与监控机制，试点区域（上海、山东）M-2 下单时间准确率普遍低于 30%（上海 27%、山东 27%），未形成 “长周期预测 - 校准” 闭环，需要下一步加强推行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如何做准T的建议</w:t>
      </w:r>
      <w:bookmarkEnd w:id="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做准下单时间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上线SLA方案，通过下单时间=要货时间-SLA的校准方式</w:t>
      </w:r>
      <w:r>
        <w:rPr>
          <w:rFonts w:eastAsia="等线" w:ascii="Arial" w:cs="Arial" w:hAnsi="Arial"/>
          <w:sz w:val="22"/>
        </w:rPr>
        <w:t>，辅助</w:t>
      </w:r>
      <w:r>
        <w:rPr>
          <w:rFonts w:eastAsia="等线" w:ascii="Arial" w:cs="Arial" w:hAnsi="Arial"/>
          <w:sz w:val="22"/>
        </w:rPr>
        <w:t>销售</w:t>
      </w:r>
      <w:r>
        <w:rPr>
          <w:rFonts w:eastAsia="等线" w:ascii="Arial" w:cs="Arial" w:hAnsi="Arial"/>
          <w:sz w:val="22"/>
        </w:rPr>
        <w:t>提高</w:t>
      </w:r>
      <w:r>
        <w:rPr>
          <w:rFonts w:eastAsia="等线" w:ascii="Arial" w:cs="Arial" w:hAnsi="Arial"/>
          <w:sz w:val="22"/>
        </w:rPr>
        <w:t>下单时间</w:t>
      </w:r>
      <w:r>
        <w:rPr>
          <w:rFonts w:eastAsia="等线" w:ascii="Arial" w:cs="Arial" w:hAnsi="Arial"/>
          <w:sz w:val="22"/>
        </w:rPr>
        <w:t>的准确性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功能落地：完成 SLA 系统开发，按供应链提供的SLA时间，CRM系统自动按 “下单时间 = 要货时间 - SLA” 计算最晚下单时间，若销售填写的预计下单时间晚于系统计算值，触发预警并阻断提交，强制校准。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数据联动：将 SLA 数据与 ERP、CRM 打通，实时同步产品 SLA 变更（如供应链通知某产品 SLA 延长至 21 天，系统自动更新计算逻辑）。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优化销售对于渠道下单时间的把控，遵循预计要货时间节奏安排下单计划；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强化当前的销售预测流程，把M-2的流程也管起来；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明确要求：参照M-0和M-1的管控要求，明确M-2预测流程和要求，纳入销售考核。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拉齐销售与供应链统计口径，统一评价标准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 “下单时间准确性”指标定义和计算方式，剔除 “借用转销售、测试转销售” 等非正常订单类型，每月由销管与供应链核对上月数据，确保口径一致。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做准要货时间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 CRM 分批下单功能，支持要货时间拆分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 “分批要货时间录入” 模块：在 CRM “分批承诺预测” 中，允许销售按批次填写要货时间，并关联对应配置清单，供应链可通过系统直接获取分批要货数据，按批次备货。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数据校验：系统自动校验 “总要货时间≥最后一批要货时间”，避免逻辑矛盾（如总要货时间 9 月，批次 2 要货时间 10 月）。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在MO销售流程中植入供应链对于要货时间的要求，在关键节点引入供应链沟通与评审，提升预计要货时间填写的准确性；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如锐捷占比低于 20% 的大型项目，在 MO 流程 “项目启动会” 环节邀请供应链参与，共同评估项目主计划（如总包进度、其他设备到货时间），制定 “要货时间备选方案”（如主计划延期则要货时间同步后延 1 个月），并录入 CRM 备案。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建立异常变更快速响应流程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 / 渠道变更要货 / 下单时间时，销售需在 24 小时内更新 CRM，并在系统中选择变更原因（如 “客户预算延迟”“渠道资金问题”），供应链实时接收变更通知，调整备货计划；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每月统计变更原因占比，针对高频原因（如 “客户预算延迟”）制定预防措施（如提前 3 个月确认客户预算到位情况）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关于做准T的目标建议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3T时间是否可以设置一个目标值，上下浮动5%，认为是“准”的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63358">
    <w:lvl>
      <w:start w:val="1"/>
      <w:numFmt w:val="decimal"/>
      <w:suff w:val="tab"/>
      <w:lvlText w:val="%1."/>
      <w:rPr>
        <w:color w:val="3370ff"/>
      </w:rPr>
    </w:lvl>
  </w:abstractNum>
  <w:abstractNum w:abstractNumId="2463359">
    <w:lvl>
      <w:start w:val="2"/>
      <w:numFmt w:val="decimal"/>
      <w:suff w:val="tab"/>
      <w:lvlText w:val="%1."/>
      <w:rPr>
        <w:color w:val="3370ff"/>
      </w:rPr>
    </w:lvl>
  </w:abstractNum>
  <w:abstractNum w:abstractNumId="2463360">
    <w:lvl>
      <w:start w:val="1"/>
      <w:numFmt w:val="decimal"/>
      <w:suff w:val="tab"/>
      <w:lvlText w:val="%1."/>
      <w:rPr>
        <w:color w:val="3370ff"/>
      </w:rPr>
    </w:lvl>
  </w:abstractNum>
  <w:abstractNum w:abstractNumId="2463361">
    <w:lvl>
      <w:start w:val="2"/>
      <w:numFmt w:val="decimal"/>
      <w:suff w:val="tab"/>
      <w:lvlText w:val="%1."/>
      <w:rPr>
        <w:color w:val="3370ff"/>
      </w:rPr>
    </w:lvl>
  </w:abstractNum>
  <w:abstractNum w:abstractNumId="2463362">
    <w:lvl>
      <w:start w:val="3"/>
      <w:numFmt w:val="decimal"/>
      <w:suff w:val="tab"/>
      <w:lvlText w:val="%1."/>
      <w:rPr>
        <w:color w:val="3370ff"/>
      </w:rPr>
    </w:lvl>
  </w:abstractNum>
  <w:abstractNum w:abstractNumId="2463363">
    <w:lvl>
      <w:numFmt w:val="bullet"/>
      <w:suff w:val="tab"/>
      <w:lvlText w:val="•"/>
      <w:rPr>
        <w:color w:val="3370ff"/>
      </w:rPr>
    </w:lvl>
  </w:abstractNum>
  <w:abstractNum w:abstractNumId="2463364">
    <w:lvl>
      <w:numFmt w:val="bullet"/>
      <w:suff w:val="tab"/>
      <w:lvlText w:val="•"/>
      <w:rPr>
        <w:color w:val="3370ff"/>
      </w:rPr>
    </w:lvl>
  </w:abstractNum>
  <w:abstractNum w:abstractNumId="2463365">
    <w:lvl>
      <w:numFmt w:val="bullet"/>
      <w:suff w:val="tab"/>
      <w:lvlText w:val="•"/>
      <w:rPr>
        <w:color w:val="3370ff"/>
      </w:rPr>
    </w:lvl>
  </w:abstractNum>
  <w:abstractNum w:abstractNumId="2463366">
    <w:lvl>
      <w:numFmt w:val="bullet"/>
      <w:suff w:val="tab"/>
      <w:lvlText w:val="•"/>
      <w:rPr>
        <w:color w:val="3370ff"/>
      </w:rPr>
    </w:lvl>
  </w:abstractNum>
  <w:abstractNum w:abstractNumId="2463367">
    <w:lvl>
      <w:numFmt w:val="bullet"/>
      <w:suff w:val="tab"/>
      <w:lvlText w:val="•"/>
      <w:rPr>
        <w:color w:val="3370ff"/>
      </w:rPr>
    </w:lvl>
  </w:abstractNum>
  <w:abstractNum w:abstractNumId="2463368">
    <w:lvl>
      <w:numFmt w:val="bullet"/>
      <w:suff w:val="tab"/>
      <w:lvlText w:val="•"/>
      <w:rPr>
        <w:color w:val="3370ff"/>
      </w:rPr>
    </w:lvl>
  </w:abstractNum>
  <w:abstractNum w:abstractNumId="2463369">
    <w:lvl>
      <w:start w:val="4"/>
      <w:numFmt w:val="decimal"/>
      <w:suff w:val="tab"/>
      <w:lvlText w:val="%1."/>
      <w:rPr>
        <w:color w:val="3370ff"/>
      </w:rPr>
    </w:lvl>
  </w:abstractNum>
  <w:abstractNum w:abstractNumId="2463370">
    <w:lvl>
      <w:numFmt w:val="bullet"/>
      <w:suff w:val="tab"/>
      <w:lvlText w:val="•"/>
      <w:rPr>
        <w:color w:val="3370ff"/>
      </w:rPr>
    </w:lvl>
  </w:abstractNum>
  <w:abstractNum w:abstractNumId="2463371">
    <w:lvl>
      <w:numFmt w:val="bullet"/>
      <w:suff w:val="tab"/>
      <w:lvlText w:val="•"/>
      <w:rPr>
        <w:color w:val="3370ff"/>
      </w:rPr>
    </w:lvl>
  </w:abstractNum>
  <w:abstractNum w:abstractNumId="2463372">
    <w:lvl>
      <w:start w:val="1"/>
      <w:numFmt w:val="decimal"/>
      <w:suff w:val="tab"/>
      <w:lvlText w:val="%1."/>
      <w:rPr>
        <w:color w:val="3370ff"/>
      </w:rPr>
    </w:lvl>
  </w:abstractNum>
  <w:abstractNum w:abstractNumId="2463373">
    <w:lvl>
      <w:start w:val="2"/>
      <w:numFmt w:val="decimal"/>
      <w:suff w:val="tab"/>
      <w:lvlText w:val="%1."/>
      <w:rPr>
        <w:color w:val="3370ff"/>
      </w:rPr>
    </w:lvl>
  </w:abstractNum>
  <w:abstractNum w:abstractNumId="2463374">
    <w:lvl>
      <w:start w:val="1"/>
      <w:numFmt w:val="decimal"/>
      <w:suff w:val="tab"/>
      <w:lvlText w:val="%1."/>
      <w:rPr>
        <w:color w:val="3370ff"/>
      </w:rPr>
    </w:lvl>
  </w:abstractNum>
  <w:abstractNum w:abstractNumId="2463375">
    <w:lvl>
      <w:start w:val="2"/>
      <w:numFmt w:val="decimal"/>
      <w:suff w:val="tab"/>
      <w:lvlText w:val="%1."/>
      <w:rPr>
        <w:color w:val="3370ff"/>
      </w:rPr>
    </w:lvl>
  </w:abstractNum>
  <w:abstractNum w:abstractNumId="2463376">
    <w:lvl>
      <w:start w:val="3"/>
      <w:numFmt w:val="decimal"/>
      <w:suff w:val="tab"/>
      <w:lvlText w:val="%1."/>
      <w:rPr>
        <w:color w:val="3370ff"/>
      </w:rPr>
    </w:lvl>
  </w:abstractNum>
  <w:abstractNum w:abstractNumId="2463377">
    <w:lvl>
      <w:start w:val="1"/>
      <w:numFmt w:val="decimal"/>
      <w:suff w:val="tab"/>
      <w:lvlText w:val="%1."/>
      <w:rPr>
        <w:color w:val="3370ff"/>
      </w:rPr>
    </w:lvl>
  </w:abstractNum>
  <w:abstractNum w:abstractNumId="2463378">
    <w:lvl>
      <w:start w:val="1"/>
      <w:numFmt w:val="decimal"/>
      <w:suff w:val="tab"/>
      <w:lvlText w:val="%1."/>
      <w:rPr>
        <w:color w:val="3370ff"/>
      </w:rPr>
    </w:lvl>
  </w:abstractNum>
  <w:abstractNum w:abstractNumId="2463379">
    <w:lvl>
      <w:numFmt w:val="bullet"/>
      <w:suff w:val="tab"/>
      <w:lvlText w:val="•"/>
      <w:rPr>
        <w:color w:val="3370ff"/>
      </w:rPr>
    </w:lvl>
  </w:abstractNum>
  <w:abstractNum w:abstractNumId="2463380">
    <w:lvl>
      <w:numFmt w:val="bullet"/>
      <w:suff w:val="tab"/>
      <w:lvlText w:val="￮"/>
      <w:rPr>
        <w:color w:val="3370ff"/>
      </w:rPr>
    </w:lvl>
  </w:abstractNum>
  <w:abstractNum w:abstractNumId="2463381">
    <w:lvl>
      <w:numFmt w:val="bullet"/>
      <w:suff w:val="tab"/>
      <w:lvlText w:val="￮"/>
      <w:rPr>
        <w:color w:val="3370ff"/>
      </w:rPr>
    </w:lvl>
  </w:abstractNum>
  <w:abstractNum w:abstractNumId="2463382">
    <w:lvl>
      <w:numFmt w:val="bullet"/>
      <w:suff w:val="tab"/>
      <w:lvlText w:val="￮"/>
      <w:rPr>
        <w:color w:val="3370ff"/>
      </w:rPr>
    </w:lvl>
  </w:abstractNum>
  <w:abstractNum w:abstractNumId="2463383">
    <w:lvl>
      <w:numFmt w:val="bullet"/>
      <w:suff w:val="tab"/>
      <w:lvlText w:val="•"/>
      <w:rPr>
        <w:color w:val="3370ff"/>
      </w:rPr>
    </w:lvl>
  </w:abstractNum>
  <w:abstractNum w:abstractNumId="2463384">
    <w:lvl>
      <w:numFmt w:val="bullet"/>
      <w:suff w:val="tab"/>
      <w:lvlText w:val="￮"/>
      <w:rPr>
        <w:color w:val="3370ff"/>
      </w:rPr>
    </w:lvl>
  </w:abstractNum>
  <w:abstractNum w:abstractNumId="2463385">
    <w:lvl>
      <w:numFmt w:val="bullet"/>
      <w:suff w:val="tab"/>
      <w:lvlText w:val="•"/>
      <w:rPr>
        <w:color w:val="3370ff"/>
      </w:rPr>
    </w:lvl>
  </w:abstractNum>
  <w:abstractNum w:abstractNumId="2463386">
    <w:lvl>
      <w:numFmt w:val="bullet"/>
      <w:suff w:val="tab"/>
      <w:lvlText w:val="￮"/>
      <w:rPr>
        <w:color w:val="3370ff"/>
      </w:rPr>
    </w:lvl>
  </w:abstractNum>
  <w:abstractNum w:abstractNumId="2463387">
    <w:lvl>
      <w:start w:val="2"/>
      <w:numFmt w:val="decimal"/>
      <w:suff w:val="tab"/>
      <w:lvlText w:val="%1."/>
      <w:rPr>
        <w:color w:val="3370ff"/>
      </w:rPr>
    </w:lvl>
  </w:abstractNum>
  <w:abstractNum w:abstractNumId="2463388">
    <w:lvl>
      <w:numFmt w:val="bullet"/>
      <w:suff w:val="tab"/>
      <w:lvlText w:val="•"/>
      <w:rPr>
        <w:color w:val="3370ff"/>
      </w:rPr>
    </w:lvl>
  </w:abstractNum>
  <w:abstractNum w:abstractNumId="2463389">
    <w:lvl>
      <w:numFmt w:val="bullet"/>
      <w:suff w:val="tab"/>
      <w:lvlText w:val="￮"/>
      <w:rPr>
        <w:color w:val="3370ff"/>
      </w:rPr>
    </w:lvl>
  </w:abstractNum>
  <w:abstractNum w:abstractNumId="2463390">
    <w:lvl>
      <w:numFmt w:val="bullet"/>
      <w:suff w:val="tab"/>
      <w:lvlText w:val="￮"/>
      <w:rPr>
        <w:color w:val="3370ff"/>
      </w:rPr>
    </w:lvl>
  </w:abstractNum>
  <w:abstractNum w:abstractNumId="2463391">
    <w:lvl>
      <w:numFmt w:val="bullet"/>
      <w:suff w:val="tab"/>
      <w:lvlText w:val="•"/>
      <w:rPr>
        <w:color w:val="3370ff"/>
      </w:rPr>
    </w:lvl>
  </w:abstractNum>
  <w:abstractNum w:abstractNumId="2463392">
    <w:lvl>
      <w:numFmt w:val="bullet"/>
      <w:suff w:val="tab"/>
      <w:lvlText w:val="￮"/>
      <w:rPr>
        <w:color w:val="3370ff"/>
      </w:rPr>
    </w:lvl>
  </w:abstractNum>
  <w:abstractNum w:abstractNumId="2463393">
    <w:lvl>
      <w:numFmt w:val="bullet"/>
      <w:suff w:val="tab"/>
      <w:lvlText w:val="•"/>
      <w:rPr>
        <w:color w:val="3370ff"/>
      </w:rPr>
    </w:lvl>
  </w:abstractNum>
  <w:abstractNum w:abstractNumId="2463394">
    <w:lvl>
      <w:numFmt w:val="bullet"/>
      <w:suff w:val="tab"/>
      <w:lvlText w:val="￮"/>
      <w:rPr>
        <w:color w:val="3370ff"/>
      </w:rPr>
    </w:lvl>
  </w:abstractNum>
  <w:abstractNum w:abstractNumId="2463395">
    <w:lvl>
      <w:numFmt w:val="bullet"/>
      <w:suff w:val="tab"/>
      <w:lvlText w:val="￮"/>
      <w:rPr>
        <w:color w:val="3370ff"/>
      </w:rPr>
    </w:lvl>
  </w:abstractNum>
  <w:abstractNum w:abstractNumId="2463396">
    <w:lvl>
      <w:start w:val="3"/>
      <w:numFmt w:val="decimal"/>
      <w:suff w:val="tab"/>
      <w:lvlText w:val="%1."/>
      <w:rPr>
        <w:color w:val="3370ff"/>
      </w:rPr>
    </w:lvl>
  </w:abstractNum>
  <w:abstractNum w:abstractNumId="2463397">
    <w:lvl>
      <w:numFmt w:val="bullet"/>
      <w:suff w:val="tab"/>
      <w:lvlText w:val="•"/>
      <w:rPr>
        <w:color w:val="3370ff"/>
      </w:rPr>
    </w:lvl>
  </w:abstractNum>
  <w:num w:numId="1">
    <w:abstractNumId w:val="2463358"/>
  </w:num>
  <w:num w:numId="2">
    <w:abstractNumId w:val="2463359"/>
  </w:num>
  <w:num w:numId="3">
    <w:abstractNumId w:val="2463360"/>
  </w:num>
  <w:num w:numId="4">
    <w:abstractNumId w:val="2463361"/>
  </w:num>
  <w:num w:numId="5">
    <w:abstractNumId w:val="2463362"/>
  </w:num>
  <w:num w:numId="6">
    <w:abstractNumId w:val="2463363"/>
  </w:num>
  <w:num w:numId="7">
    <w:abstractNumId w:val="2463364"/>
  </w:num>
  <w:num w:numId="8">
    <w:abstractNumId w:val="2463365"/>
  </w:num>
  <w:num w:numId="9">
    <w:abstractNumId w:val="2463366"/>
  </w:num>
  <w:num w:numId="10">
    <w:abstractNumId w:val="2463367"/>
  </w:num>
  <w:num w:numId="11">
    <w:abstractNumId w:val="2463368"/>
  </w:num>
  <w:num w:numId="12">
    <w:abstractNumId w:val="2463369"/>
  </w:num>
  <w:num w:numId="13">
    <w:abstractNumId w:val="2463370"/>
  </w:num>
  <w:num w:numId="14">
    <w:abstractNumId w:val="2463371"/>
  </w:num>
  <w:num w:numId="15">
    <w:abstractNumId w:val="2463372"/>
  </w:num>
  <w:num w:numId="16">
    <w:abstractNumId w:val="2463373"/>
  </w:num>
  <w:num w:numId="17">
    <w:abstractNumId w:val="2463374"/>
  </w:num>
  <w:num w:numId="18">
    <w:abstractNumId w:val="2463375"/>
  </w:num>
  <w:num w:numId="19">
    <w:abstractNumId w:val="2463376"/>
  </w:num>
  <w:num w:numId="20">
    <w:abstractNumId w:val="2463377"/>
  </w:num>
  <w:num w:numId="21">
    <w:abstractNumId w:val="2463378"/>
  </w:num>
  <w:num w:numId="22">
    <w:abstractNumId w:val="2463379"/>
  </w:num>
  <w:num w:numId="23">
    <w:abstractNumId w:val="2463380"/>
  </w:num>
  <w:num w:numId="24">
    <w:abstractNumId w:val="2463381"/>
  </w:num>
  <w:num w:numId="25">
    <w:abstractNumId w:val="2463382"/>
  </w:num>
  <w:num w:numId="26">
    <w:abstractNumId w:val="2463383"/>
  </w:num>
  <w:num w:numId="27">
    <w:abstractNumId w:val="2463384"/>
  </w:num>
  <w:num w:numId="28">
    <w:abstractNumId w:val="2463385"/>
  </w:num>
  <w:num w:numId="29">
    <w:abstractNumId w:val="2463386"/>
  </w:num>
  <w:num w:numId="30">
    <w:abstractNumId w:val="2463387"/>
  </w:num>
  <w:num w:numId="31">
    <w:abstractNumId w:val="2463388"/>
  </w:num>
  <w:num w:numId="32">
    <w:abstractNumId w:val="2463389"/>
  </w:num>
  <w:num w:numId="33">
    <w:abstractNumId w:val="2463390"/>
  </w:num>
  <w:num w:numId="34">
    <w:abstractNumId w:val="2463391"/>
  </w:num>
  <w:num w:numId="35">
    <w:abstractNumId w:val="2463392"/>
  </w:num>
  <w:num w:numId="36">
    <w:abstractNumId w:val="2463393"/>
  </w:num>
  <w:num w:numId="37">
    <w:abstractNumId w:val="2463394"/>
  </w:num>
  <w:num w:numId="38">
    <w:abstractNumId w:val="2463395"/>
  </w:num>
  <w:num w:numId="39">
    <w:abstractNumId w:val="2463396"/>
  </w:num>
  <w:num w:numId="40">
    <w:abstractNumId w:val="24633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embeddings/Microsoft_Excel_Worksheet1.xlsx" Type="http://schemas.openxmlformats.org/officeDocument/2006/relationships/package"/><Relationship Id="rId14" Target="media/image8.png" Type="http://schemas.openxmlformats.org/officeDocument/2006/relationships/image"/><Relationship Id="rId15" Target="embeddings/Microsoft_Excel_Worksheet2.xlsx" Type="http://schemas.openxmlformats.org/officeDocument/2006/relationships/package"/><Relationship Id="rId16" Target="media/image9.png" Type="http://schemas.openxmlformats.org/officeDocument/2006/relationships/image"/><Relationship Id="rId17" Target="embeddings/Microsoft_Excel_Worksheet3.xlsx" Type="http://schemas.openxmlformats.org/officeDocument/2006/relationships/package"/><Relationship Id="rId18" Target="media/image10.png" Type="http://schemas.openxmlformats.org/officeDocument/2006/relationships/image"/><Relationship Id="rId19" Target="embeddings/Microsoft_Excel_Worksheet4.xlsx" Type="http://schemas.openxmlformats.org/officeDocument/2006/relationships/pack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jpeg" Type="http://schemas.openxmlformats.org/officeDocument/2006/relationships/image"/><Relationship Id="rId22" Target="media/image13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ruijie.feishu.cn/docx/DfAhd0wIxo6sFAxKAUDcrFJgnJP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2025-10-30T02:36:51Z</dcterms:created>
  <dc:creator>Apache POI</dc:creator>
</cp:coreProperties>
</file>