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“漏斗T的指标管理”复盘分析</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“做准N和T”推进的节奏</w:t>
      </w:r>
      <w:bookmarkEnd w:id="0"/>
    </w:p>
    <w:p>
      <w:pPr>
        <w:spacing w:before="120" w:after="120" w:line="288" w:lineRule="auto"/>
        <w:ind w:left="0"/>
        <w:jc w:val="left"/>
      </w:pPr>
      <w:r>
        <w:rPr>
          <w:rFonts w:eastAsia="等线" w:ascii="Arial" w:cs="Arial" w:hAnsi="Arial"/>
          <w:sz w:val="22"/>
        </w:rPr>
        <w:t>项目执行计划：</w:t>
      </w:r>
    </w:p>
    <w:p>
      <w:pPr>
        <w:spacing w:before="120" w:after="120" w:line="288" w:lineRule="auto"/>
        <w:ind w:left="0"/>
        <w:jc w:val="center"/>
      </w:pPr>
      <w:r>
        <w:drawing>
          <wp:inline distT="0" distR="0" distB="0" distL="0">
            <wp:extent cx="5257800" cy="19145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1914525"/>
                    </a:xfrm>
                    <a:prstGeom prst="rect">
                      <a:avLst/>
                    </a:prstGeom>
                  </pic:spPr>
                </pic:pic>
              </a:graphicData>
            </a:graphic>
          </wp:inline>
        </w:drawing>
      </w:r>
    </w:p>
    <w:p>
      <w:pPr>
        <w:spacing w:before="120" w:after="120" w:line="288" w:lineRule="auto"/>
        <w:ind w:left="0"/>
        <w:jc w:val="center"/>
      </w:pPr>
      <w:r>
        <w:drawing>
          <wp:inline distT="0" distR="0" distB="0" distL="0">
            <wp:extent cx="5257800" cy="27908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27908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IT需求：</w:t>
      </w:r>
      <w:hyperlink r:id="rId6">
        <w:r>
          <w:rPr>
            <w:rFonts w:eastAsia="等线" w:ascii="Arial" w:cs="Arial" w:hAnsi="Arial"/>
            <w:color w:val="3370ff"/>
            <w:sz w:val="22"/>
          </w:rPr>
          <w:t>MTCV流程-N、T改善PRD文档</w:t>
        </w:r>
      </w:hyperlink>
    </w:p>
    <w:p>
      <w:pPr>
        <w:pStyle w:val="2"/>
        <w:spacing w:before="320" w:after="120" w:line="288" w:lineRule="auto"/>
        <w:ind w:left="0"/>
        <w:jc w:val="left"/>
        <w:outlineLvl w:val="1"/>
      </w:pPr>
      <w:bookmarkStart w:name="heading_1" w:id="1"/>
      <w:r>
        <w:rPr>
          <w:rFonts w:eastAsia="等线" w:ascii="Arial" w:cs="Arial" w:hAnsi="Arial"/>
          <w:b w:val="true"/>
          <w:sz w:val="32"/>
        </w:rPr>
        <w:t>为什么我们要关注这几个时间（T）：</w:t>
      </w:r>
      <w:bookmarkEnd w:id="1"/>
    </w:p>
    <w:p>
      <w:pPr>
        <w:spacing w:before="120" w:after="120" w:line="288" w:lineRule="auto"/>
        <w:ind w:left="0"/>
        <w:jc w:val="center"/>
      </w:pPr>
      <w:r>
        <w:drawing>
          <wp:inline distT="0" distR="0" distB="0" distL="0">
            <wp:extent cx="5257800" cy="16859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1685925"/>
                    </a:xfrm>
                    <a:prstGeom prst="rect">
                      <a:avLst/>
                    </a:prstGeom>
                  </pic:spPr>
                </pic:pic>
              </a:graphicData>
            </a:graphic>
          </wp:inline>
        </w:drawing>
      </w:r>
    </w:p>
    <w:p>
      <w:pPr>
        <w:pStyle w:val="3"/>
        <w:spacing w:before="300" w:after="120" w:line="288" w:lineRule="auto"/>
        <w:ind w:left="0"/>
        <w:jc w:val="left"/>
        <w:outlineLvl w:val="2"/>
      </w:pPr>
      <w:bookmarkStart w:name="heading_2" w:id="2"/>
      <w:r>
        <w:rPr>
          <w:rFonts w:eastAsia="等线" w:ascii="Arial" w:cs="Arial" w:hAnsi="Arial"/>
          <w:b w:val="true"/>
          <w:sz w:val="30"/>
        </w:rPr>
        <w:t>目前针对CRM中销售输入的三个时间对供应链备货的影响</w:t>
      </w:r>
      <w:bookmarkEnd w:id="2"/>
    </w:p>
    <w:p>
      <w:pPr>
        <w:spacing w:before="120" w:after="120" w:line="288" w:lineRule="auto"/>
        <w:ind w:left="0"/>
        <w:jc w:val="center"/>
      </w:pPr>
      <w:r>
        <w:drawing>
          <wp:inline distT="0" distR="0" distB="0" distL="0">
            <wp:extent cx="5257800" cy="16573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1657350"/>
                    </a:xfrm>
                    <a:prstGeom prst="rect">
                      <a:avLst/>
                    </a:prstGeom>
                  </pic:spPr>
                </pic:pic>
              </a:graphicData>
            </a:graphic>
          </wp:inline>
        </w:drawing>
      </w:r>
    </w:p>
    <w:p>
      <w:pPr>
        <w:numPr>
          <w:numId w:val="1"/>
        </w:numPr>
        <w:spacing w:before="120" w:after="120" w:line="288" w:lineRule="auto"/>
        <w:ind w:left="0"/>
        <w:jc w:val="left"/>
      </w:pPr>
      <w:r>
        <w:rPr>
          <w:rFonts w:eastAsia="等线" w:ascii="Arial" w:cs="Arial" w:hAnsi="Arial"/>
          <w:b w:val="true"/>
          <w:sz w:val="22"/>
        </w:rPr>
        <w:t>预计客户要货时间</w:t>
      </w:r>
      <w:r>
        <w:rPr>
          <w:rFonts w:eastAsia="等线" w:ascii="Arial" w:cs="Arial" w:hAnsi="Arial"/>
          <w:sz w:val="22"/>
        </w:rPr>
        <w:t>：是供应链备货计划的核心锚点，直接决定备货的 “时间基准”—— 供应链需基于此倒推采购、生产、仓储等环节的周期，确保货物在客户需求节点前就绪。若该时间不准，会直接导致备货过早（增加资金占用、仓储成本）或过晚（引发交付延迟），</w:t>
      </w:r>
      <w:r>
        <w:rPr>
          <w:rFonts w:eastAsia="等线" w:ascii="Arial" w:cs="Arial" w:hAnsi="Arial"/>
          <w:b w:val="true"/>
          <w:sz w:val="22"/>
        </w:rPr>
        <w:t>而渠道要货时间需围绕其遵循交付供应规则，当渠道下单要货的节奏与交付供应规则偏差过大时（如加急单、预约单）需触发特殊审批，才能避免打乱整体备货节奏。</w:t>
      </w:r>
    </w:p>
    <w:p>
      <w:pPr>
        <w:numPr>
          <w:numId w:val="2"/>
        </w:numPr>
        <w:spacing w:before="120" w:after="120" w:line="288" w:lineRule="auto"/>
        <w:ind w:left="0"/>
        <w:jc w:val="left"/>
      </w:pPr>
      <w:r>
        <w:rPr>
          <w:rFonts w:eastAsia="等线" w:ascii="Arial" w:cs="Arial" w:hAnsi="Arial"/>
          <w:b w:val="true"/>
          <w:sz w:val="22"/>
        </w:rPr>
        <w:t>预计下单时间</w:t>
      </w:r>
      <w:r>
        <w:rPr>
          <w:rFonts w:eastAsia="等线" w:ascii="Arial" w:cs="Arial" w:hAnsi="Arial"/>
          <w:sz w:val="22"/>
        </w:rPr>
        <w:t>：是供应链备货的 “启动信号”，供应链需依据此时间提前调配资源（如锁定供应商产能、预留库存）。其准确性直接影响备货的 “前置准备效率”—— 若预测下单却未下单，会导致供应链已筹备的资源闲置；若未预测却临时下单，会使供应链因缺乏准备而陷入被动（如紧急采购推高成本、无法按期交付）。</w:t>
      </w:r>
      <w:r>
        <w:rPr>
          <w:rFonts w:eastAsia="等线" w:ascii="Arial" w:cs="Arial" w:hAnsi="Arial"/>
          <w:b w:val="true"/>
          <w:sz w:val="22"/>
        </w:rPr>
        <w:t>对该时间的监测（关注预测未下单、未预测下单场景），本质是通过提升下单准确性优化备货资源配置，为业务决策提供可靠的需求数据支撑。</w:t>
      </w:r>
    </w:p>
    <w:p>
      <w:pPr>
        <w:numPr>
          <w:numId w:val="3"/>
        </w:numPr>
        <w:spacing w:before="120" w:after="120" w:line="288" w:lineRule="auto"/>
        <w:ind w:left="0"/>
        <w:jc w:val="left"/>
      </w:pPr>
      <w:r>
        <w:rPr>
          <w:rFonts w:eastAsia="等线" w:ascii="Arial" w:cs="Arial" w:hAnsi="Arial"/>
          <w:b w:val="true"/>
          <w:sz w:val="22"/>
        </w:rPr>
        <w:t>预计开标时间</w:t>
      </w:r>
      <w:r>
        <w:rPr>
          <w:rFonts w:eastAsia="等线" w:ascii="Arial" w:cs="Arial" w:hAnsi="Arial"/>
          <w:sz w:val="22"/>
        </w:rPr>
        <w:t>：是供应链备货的 “早期参考输入”，虽不直接触发备货动作，但能让供应链提前了解潜在需求规模与产品配置方向（如项目所需设备型号、数量），从而进行初步资源规划（如与核心供应商沟通产能预留、提前梳理配置清单）。若该时间不准，会导致供应链早期备货规划与实际需求脱节（如开标延迟致已准备的配置清单失效），</w:t>
      </w:r>
      <w:r>
        <w:rPr>
          <w:rFonts w:eastAsia="等线" w:ascii="Arial" w:cs="Arial" w:hAnsi="Arial"/>
          <w:b w:val="true"/>
          <w:sz w:val="22"/>
        </w:rPr>
        <w:t>对该时间的管控，核心是为供应链备货与项目推进提供精准前置支撑。</w:t>
      </w:r>
      <w:r>
        <w:rPr>
          <w:rFonts w:eastAsia="等线" w:ascii="Arial" w:cs="Arial" w:hAnsi="Arial"/>
          <w:sz w:val="22"/>
        </w:rPr>
        <w:t>一是避免因开标时间不准导致供应链早期备货规划脱节，如配置清单失效、预留资源浪费，确保备货方向与实际项目需求匹配；二是帮助销售精准把控项目进展节奏，减少因时间偏差引发的投标策略调整滞后、客户沟通被动等问题，同时为供应链提前调配资源（如沟通产能、梳理配置）预留合理周期，降低后期交付风险。</w:t>
      </w:r>
    </w:p>
    <w:p>
      <w:pPr>
        <w:pStyle w:val="1"/>
        <w:spacing w:before="380" w:after="140" w:line="288" w:lineRule="auto"/>
        <w:ind w:left="0"/>
        <w:jc w:val="left"/>
        <w:outlineLvl w:val="0"/>
      </w:pPr>
      <w:bookmarkStart w:name="heading_3" w:id="3"/>
      <w:r>
        <w:rPr>
          <w:rFonts w:eastAsia="等线" w:ascii="Arial" w:cs="Arial" w:hAnsi="Arial"/>
          <w:color w:val="3370ff"/>
          <w:sz w:val="36"/>
        </w:rPr>
        <w:t xml:space="preserve">2. </w:t>
      </w:r>
      <w:r>
        <w:rPr>
          <w:rFonts w:eastAsia="等线" w:ascii="Arial" w:cs="Arial" w:hAnsi="Arial"/>
          <w:b w:val="true"/>
          <w:sz w:val="36"/>
        </w:rPr>
        <w:t>数据指标当前怎么样？</w:t>
      </w:r>
      <w:bookmarkEnd w:id="3"/>
    </w:p>
    <w:p>
      <w:pPr>
        <w:numPr>
          <w:numId w:val="4"/>
        </w:numPr>
        <w:spacing w:before="120" w:after="120" w:line="288" w:lineRule="auto"/>
        <w:ind w:left="0"/>
        <w:jc w:val="left"/>
      </w:pPr>
      <w:r>
        <w:rPr>
          <w:rFonts w:eastAsia="等线" w:ascii="Arial" w:cs="Arial" w:hAnsi="Arial"/>
          <w:sz w:val="22"/>
        </w:rPr>
        <w:t>EBG"下单时间准确率"、“要货时间准确率”</w:t>
      </w:r>
      <w:r>
        <w:rPr>
          <w:rFonts w:eastAsia="等线" w:ascii="Arial" w:cs="Arial" w:hAnsi="Arial"/>
          <w:sz w:val="22"/>
        </w:rPr>
        <w:t>-T</w:t>
      </w:r>
    </w:p>
    <w:p>
      <w:pPr>
        <w:spacing w:before="120" w:after="120" w:line="288" w:lineRule="auto"/>
        <w:ind w:left="0"/>
        <w:jc w:val="center"/>
      </w:pPr>
      <w:r>
        <w:drawing>
          <wp:inline distT="0" distR="0" distB="0" distL="0">
            <wp:extent cx="5257800" cy="8001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0"/>
                    <a:stretch>
                      <a:fillRect/>
                    </a:stretch>
                  </pic:blipFill>
                  <pic:spPr>
                    <a:xfrm>
                      <a:off x="0" y="0"/>
                      <a:ext cx="5257800" cy="800100"/>
                    </a:xfrm>
                    <a:prstGeom prst="rect">
                      <a:avLst/>
                    </a:prstGeom>
                  </pic:spPr>
                </pic:pic>
              </a:graphicData>
            </a:graphic>
          </wp:inline>
        </w:drawing>
      </w:r>
    </w:p>
    <w:p>
      <w:pPr>
        <w:spacing w:before="120" w:after="120" w:line="288" w:lineRule="auto"/>
        <w:ind w:left="0"/>
        <w:jc w:val="center"/>
      </w:pPr>
      <w:r>
        <w:drawing>
          <wp:inline distT="0" distR="0" distB="0" distL="0">
            <wp:extent cx="5257800" cy="78105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1"/>
                    <a:stretch>
                      <a:fillRect/>
                    </a:stretch>
                  </pic:blipFill>
                  <pic:spPr>
                    <a:xfrm>
                      <a:off x="0" y="0"/>
                      <a:ext cx="5257800" cy="781050"/>
                    </a:xfrm>
                    <a:prstGeom prst="rect">
                      <a:avLst/>
                    </a:prstGeom>
                  </pic:spPr>
                </pic:pic>
              </a:graphicData>
            </a:graphic>
          </wp:inline>
        </w:drawing>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因“N和T”的全面推行实践，是从9月12日开始的，目前截止9月份的“下单时间准确率”和“要货时间准确率” 数据 还没有体现出实践的效果。</w:t>
            </w:r>
          </w:p>
        </w:tc>
      </w:tr>
    </w:tbl>
    <w:p>
      <w:pPr>
        <w:numPr>
          <w:numId w:val="5"/>
        </w:numPr>
        <w:spacing w:before="120" w:after="120" w:line="288" w:lineRule="auto"/>
        <w:ind w:left="0"/>
        <w:jc w:val="left"/>
      </w:pPr>
      <w:r>
        <w:rPr>
          <w:rFonts w:eastAsia="等线" w:ascii="Arial" w:cs="Arial" w:hAnsi="Arial"/>
          <w:sz w:val="22"/>
        </w:rPr>
        <w:t>上海、山东试点区域数据</w:t>
      </w:r>
    </w:p>
    <w:p>
      <w:pPr>
        <w:spacing w:before="120" w:after="120" w:line="288" w:lineRule="auto"/>
        <w:ind w:left="0"/>
        <w:jc w:val="center"/>
      </w:pPr>
      <w:r>
        <w:drawing>
          <wp:inline distT="0" distR="0" distB="0" distL="0">
            <wp:extent cx="5257800" cy="17335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2"/>
                    <a:stretch>
                      <a:fillRect/>
                    </a:stretch>
                  </pic:blipFill>
                  <pic:spPr>
                    <a:xfrm>
                      <a:off x="0" y="0"/>
                      <a:ext cx="5257800" cy="1733550"/>
                    </a:xfrm>
                    <a:prstGeom prst="rect">
                      <a:avLst/>
                    </a:prstGeom>
                  </pic:spPr>
                </pic:pic>
              </a:graphicData>
            </a:graphic>
          </wp:inline>
        </w:drawing>
      </w:r>
    </w:p>
    <w:p>
      <w:pPr>
        <w:spacing w:before="120" w:after="120" w:line="288" w:lineRule="auto"/>
        <w:ind w:left="0"/>
        <w:jc w:val="center"/>
      </w:pPr>
      <w:r>
        <w:drawing>
          <wp:inline distT="0" distR="0" distB="0" distL="0">
            <wp:extent cx="5257800" cy="8096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3"/>
                    <a:stretch>
                      <a:fillRect/>
                    </a:stretch>
                  </pic:blipFill>
                  <pic:spPr>
                    <a:xfrm>
                      <a:off x="0" y="0"/>
                      <a:ext cx="5257800" cy="809625"/>
                    </a:xfrm>
                    <a:prstGeom prst="rect">
                      <a:avLst/>
                    </a:prstGeom>
                  </pic:spPr>
                </pic:pic>
              </a:graphicData>
            </a:graphic>
          </wp:inline>
        </w:drawing>
      </w:r>
    </w:p>
    <w:p>
      <w:pPr>
        <w:spacing w:before="120" w:after="120" w:line="288" w:lineRule="auto"/>
        <w:ind w:left="0"/>
        <w:jc w:val="center"/>
      </w:pPr>
      <w:r>
        <w:drawing>
          <wp:inline distT="0" distR="0" distB="0" distL="0">
            <wp:extent cx="5257800" cy="12954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4"/>
                    <a:stretch>
                      <a:fillRect/>
                    </a:stretch>
                  </pic:blipFill>
                  <pic:spPr>
                    <a:xfrm>
                      <a:off x="0" y="0"/>
                      <a:ext cx="5257800" cy="1295400"/>
                    </a:xfrm>
                    <a:prstGeom prst="rect">
                      <a:avLst/>
                    </a:prstGeom>
                  </pic:spPr>
                </pic:pic>
              </a:graphicData>
            </a:graphic>
          </wp:inline>
        </w:drawing>
      </w:r>
    </w:p>
    <w:p>
      <w:pPr>
        <w:spacing w:before="120" w:after="120" w:line="288" w:lineRule="auto"/>
        <w:ind w:left="0"/>
        <w:jc w:val="center"/>
      </w:pPr>
      <w:r>
        <w:drawing>
          <wp:inline distT="0" distR="0" distB="0" distL="0">
            <wp:extent cx="5257800" cy="133350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5"/>
                    <a:stretch>
                      <a:fillRect/>
                    </a:stretch>
                  </pic:blipFill>
                  <pic:spPr>
                    <a:xfrm>
                      <a:off x="0" y="0"/>
                      <a:ext cx="5257800" cy="1333500"/>
                    </a:xfrm>
                    <a:prstGeom prst="rect">
                      <a:avLst/>
                    </a:prstGeom>
                  </pic:spPr>
                </pic:pic>
              </a:graphicData>
            </a:graphic>
          </wp:inline>
        </w:drawing>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w:t>
            </w:r>
            <w:r>
              <w:rPr>
                <w:rFonts w:eastAsia="等线" w:ascii="Arial" w:cs="Arial" w:hAnsi="Arial"/>
                <w:b w:val="true"/>
                <w:sz w:val="22"/>
              </w:rPr>
              <w:t>下单清单准确率：</w:t>
            </w:r>
          </w:p>
          <w:p>
            <w:pPr>
              <w:spacing w:before="120" w:after="120" w:line="288" w:lineRule="auto"/>
              <w:ind w:left="0"/>
              <w:jc w:val="left"/>
            </w:pPr>
            <w:r>
              <w:rPr>
                <w:rFonts w:eastAsia="等线" w:ascii="Arial" w:cs="Arial" w:hAnsi="Arial"/>
                <w:sz w:val="22"/>
              </w:rPr>
              <w:t>上海，</w:t>
            </w:r>
            <w:r>
              <w:rPr>
                <w:rFonts w:eastAsia="等线" w:ascii="Arial" w:cs="Arial" w:hAnsi="Arial"/>
                <w:b w:val="true"/>
                <w:sz w:val="22"/>
              </w:rPr>
              <w:t>8月M-0做到78%，9月M-0做到86%、M-1做到77%</w:t>
            </w:r>
          </w:p>
          <w:p>
            <w:pPr>
              <w:spacing w:before="120" w:after="120" w:line="288" w:lineRule="auto"/>
              <w:ind w:left="0"/>
              <w:jc w:val="left"/>
            </w:pPr>
            <w:r>
              <w:rPr>
                <w:rFonts w:eastAsia="等线" w:ascii="Arial" w:cs="Arial" w:hAnsi="Arial"/>
                <w:sz w:val="22"/>
              </w:rPr>
              <w:t>山东，</w:t>
            </w:r>
            <w:r>
              <w:rPr>
                <w:rFonts w:eastAsia="等线" w:ascii="Arial" w:cs="Arial" w:hAnsi="Arial"/>
                <w:b w:val="true"/>
                <w:sz w:val="22"/>
              </w:rPr>
              <w:t>8月M-0做到61%，9月M-0做到76%、M-1做到68%</w:t>
            </w:r>
          </w:p>
          <w:p>
            <w:pPr>
              <w:spacing w:before="120" w:after="120" w:line="288" w:lineRule="auto"/>
              <w:ind w:left="0"/>
              <w:jc w:val="left"/>
            </w:pPr>
            <w:r>
              <w:rPr>
                <w:rFonts w:eastAsia="等线" w:ascii="Arial" w:cs="Arial" w:hAnsi="Arial"/>
                <w:b w:val="true"/>
                <w:sz w:val="22"/>
              </w:rPr>
              <w:t>T-下单时间准确率：</w:t>
            </w:r>
          </w:p>
          <w:p>
            <w:pPr>
              <w:spacing w:before="120" w:after="120" w:line="288" w:lineRule="auto"/>
              <w:ind w:left="0"/>
              <w:jc w:val="left"/>
            </w:pPr>
            <w:r>
              <w:rPr>
                <w:rFonts w:eastAsia="等线" w:ascii="Arial" w:cs="Arial" w:hAnsi="Arial"/>
                <w:sz w:val="22"/>
              </w:rPr>
              <w:t>上海，</w:t>
            </w:r>
            <w:r>
              <w:rPr>
                <w:rFonts w:eastAsia="等线" w:ascii="Arial" w:cs="Arial" w:hAnsi="Arial"/>
                <w:b w:val="true"/>
                <w:sz w:val="22"/>
              </w:rPr>
              <w:t>8月M-0做到 92%，</w:t>
            </w:r>
            <w:r>
              <w:rPr>
                <w:rFonts w:eastAsia="等线" w:ascii="Arial" w:cs="Arial" w:hAnsi="Arial"/>
                <w:b w:val="true"/>
                <w:color w:val="d83931"/>
                <w:sz w:val="22"/>
              </w:rPr>
              <w:t xml:space="preserve">9月的M-0 做到67%、M-1做到33% </w:t>
            </w:r>
          </w:p>
          <w:p>
            <w:pPr>
              <w:spacing w:before="120" w:after="120" w:line="288" w:lineRule="auto"/>
              <w:ind w:left="0"/>
              <w:jc w:val="left"/>
            </w:pPr>
            <w:r>
              <w:rPr>
                <w:rFonts w:eastAsia="等线" w:ascii="Arial" w:cs="Arial" w:hAnsi="Arial"/>
                <w:sz w:val="22"/>
              </w:rPr>
              <w:t>山东，</w:t>
            </w:r>
            <w:r>
              <w:rPr>
                <w:rFonts w:eastAsia="等线" w:ascii="Arial" w:cs="Arial" w:hAnsi="Arial"/>
                <w:b w:val="true"/>
                <w:sz w:val="22"/>
              </w:rPr>
              <w:t>8月M-0做到 92%，9月的M-0 做到94%、M-1做到73%</w:t>
            </w:r>
          </w:p>
          <w:p>
            <w:pPr>
              <w:spacing w:before="120" w:after="120" w:line="288" w:lineRule="auto"/>
              <w:ind w:left="0"/>
              <w:jc w:val="left"/>
            </w:pPr>
            <w:r>
              <w:rPr>
                <w:rFonts w:eastAsia="等线" w:ascii="Arial" w:cs="Arial" w:hAnsi="Arial"/>
                <w:b w:val="true"/>
                <w:sz w:val="22"/>
              </w:rPr>
              <w:t>T-要货时间准确率：</w:t>
            </w:r>
          </w:p>
          <w:p>
            <w:pPr>
              <w:spacing w:before="120" w:after="120" w:line="288" w:lineRule="auto"/>
              <w:ind w:left="0"/>
              <w:jc w:val="left"/>
            </w:pPr>
            <w:r>
              <w:rPr>
                <w:rFonts w:eastAsia="等线" w:ascii="Arial" w:cs="Arial" w:hAnsi="Arial"/>
                <w:sz w:val="22"/>
              </w:rPr>
              <w:t>上海，</w:t>
            </w:r>
            <w:r>
              <w:rPr>
                <w:rFonts w:eastAsia="等线" w:ascii="Arial" w:cs="Arial" w:hAnsi="Arial"/>
                <w:b w:val="true"/>
                <w:sz w:val="22"/>
              </w:rPr>
              <w:t>8月M-0 67%，9月M-0 50%，</w:t>
            </w:r>
            <w:r>
              <w:rPr>
                <w:rFonts w:eastAsia="等线" w:ascii="Arial" w:cs="Arial" w:hAnsi="Arial"/>
                <w:b w:val="true"/>
                <w:color w:val="d83931"/>
                <w:sz w:val="22"/>
              </w:rPr>
              <w:t>M-1 33%</w:t>
            </w:r>
          </w:p>
          <w:p>
            <w:pPr>
              <w:spacing w:before="120" w:after="120" w:line="288" w:lineRule="auto"/>
              <w:ind w:left="0"/>
              <w:jc w:val="left"/>
            </w:pPr>
            <w:r>
              <w:rPr>
                <w:rFonts w:eastAsia="等线" w:ascii="Arial" w:cs="Arial" w:hAnsi="Arial"/>
                <w:sz w:val="22"/>
              </w:rPr>
              <w:t>山东，</w:t>
            </w:r>
            <w:r>
              <w:rPr>
                <w:rFonts w:eastAsia="等线" w:ascii="Arial" w:cs="Arial" w:hAnsi="Arial"/>
                <w:b w:val="true"/>
                <w:color w:val="d83931"/>
                <w:sz w:val="22"/>
              </w:rPr>
              <w:t>8月M-0 25%，9月M-0 31%，</w:t>
            </w:r>
            <w:r>
              <w:rPr>
                <w:rFonts w:eastAsia="等线" w:ascii="Arial" w:cs="Arial" w:hAnsi="Arial"/>
                <w:sz w:val="22"/>
              </w:rPr>
              <w:t xml:space="preserve"> M-1 73%</w:t>
            </w:r>
          </w:p>
        </w:tc>
      </w:tr>
    </w:tbl>
    <w:p>
      <w:pPr>
        <w:spacing w:before="120" w:after="120" w:line="288" w:lineRule="auto"/>
        <w:ind w:left="0"/>
        <w:jc w:val="left"/>
      </w:pPr>
      <w:r>
        <w:rPr>
          <w:rFonts w:eastAsia="等线" w:ascii="Arial" w:cs="Arial" w:hAnsi="Arial"/>
          <w:b w:val="true"/>
          <w:sz w:val="22"/>
        </w:rPr>
        <w:t>下单清单准确率-从指标上看，上海、山东两个试点区域数据稳中有升，符合预期，本次复盘不做展开。</w:t>
      </w:r>
    </w:p>
    <w:p>
      <w:pPr>
        <w:numPr>
          <w:numId w:val="6"/>
        </w:numPr>
        <w:spacing w:before="120" w:after="120" w:line="288" w:lineRule="auto"/>
        <w:ind w:left="0"/>
        <w:jc w:val="left"/>
      </w:pPr>
      <w:r>
        <w:rPr>
          <w:rFonts w:eastAsia="等线" w:ascii="Arial" w:cs="Arial" w:hAnsi="Arial"/>
          <w:sz w:val="22"/>
        </w:rPr>
        <w:t>上海区域试点数据分析：</w:t>
      </w:r>
    </w:p>
    <w:p>
      <w:pPr>
        <w:spacing w:before="120" w:after="120" w:line="288" w:lineRule="auto"/>
        <w:ind w:left="0"/>
        <w:jc w:val="left"/>
      </w:pPr>
      <w:r>
        <w:rPr>
          <w:rFonts w:eastAsia="等线" w:ascii="Arial" w:cs="Arial" w:hAnsi="Arial"/>
          <w:b w:val="true"/>
          <w:sz w:val="22"/>
          <w:shd w:fill="fff67a"/>
        </w:rPr>
        <w:t>下单</w:t>
      </w:r>
      <w:r>
        <w:rPr>
          <w:rFonts w:eastAsia="等线" w:ascii="Arial" w:cs="Arial" w:hAnsi="Arial"/>
          <w:b w:val="true"/>
          <w:sz w:val="22"/>
          <w:shd w:fill="fff67a"/>
        </w:rPr>
        <w:t>/要货</w:t>
      </w:r>
      <w:r>
        <w:rPr>
          <w:rFonts w:eastAsia="等线" w:ascii="Arial" w:cs="Arial" w:hAnsi="Arial"/>
          <w:b w:val="true"/>
          <w:sz w:val="22"/>
          <w:shd w:fill="fff67a"/>
        </w:rPr>
        <w:t>时间-上海区域，做的不准的项目是什么情况？</w:t>
      </w:r>
    </w:p>
    <w:p>
      <w:pPr>
        <w:numPr>
          <w:numId w:val="7"/>
        </w:numPr>
        <w:spacing w:before="120" w:after="120" w:line="288" w:lineRule="auto"/>
        <w:ind w:left="0"/>
        <w:jc w:val="left"/>
      </w:pPr>
      <w:r>
        <w:rPr>
          <w:rFonts w:eastAsia="等线" w:ascii="Arial" w:cs="Arial" w:hAnsi="Arial"/>
          <w:sz w:val="22"/>
        </w:rPr>
        <w:t>上海区域9月的 下单时间 M-0做的不准的项目清单</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09pt;mso-width-percent:0;mso-height-percent:0;mso-width-percent:0;mso-height-percent:0" type="#_x0000_t75" o:ole="">
            <v:imagedata r:id="rId17" o:title=""/>
          </v:shape>
          <o:OLEObject DrawAspect="Icon" ObjectID="_1718471219" ProgID="Excel.Sheet.12" ShapeID="_x0000_i1025" Type="Embed" r:id="rId16"/>
        </w:object>
      </w:r>
    </w:p>
    <w:p>
      <w:pPr>
        <w:spacing w:after="120"/>
        <w:ind w:left="0"/>
        <w:jc w:val="center"/>
      </w:pPr>
      <w:r>
        <w:rPr>
          <w:rFonts w:eastAsia="等线" w:ascii="Arial" w:cs="Arial" w:hAnsi="Arial"/>
          <w:b w:val="true"/>
          <w:sz w:val="22"/>
        </w:rPr>
        <w:t>点击图片可查看完整电子表格</w:t>
      </w:r>
    </w:p>
    <w:p>
      <w:pPr>
        <w:numPr>
          <w:numId w:val="8"/>
        </w:numPr>
        <w:spacing w:before="120" w:after="120" w:line="288" w:lineRule="auto"/>
        <w:ind w:left="0"/>
        <w:jc w:val="left"/>
      </w:pPr>
      <w:r>
        <w:rPr>
          <w:rFonts w:eastAsia="等线" w:ascii="Arial" w:cs="Arial" w:hAnsi="Arial"/>
          <w:sz w:val="22"/>
        </w:rPr>
        <w:t>上海区域9月的 下单时间 M-1做的不准的项目清单</w:t>
      </w:r>
    </w:p>
    <w:p>
      <w:pPr>
        <w:spacing w:before="120" w:after="120" w:line="288" w:lineRule="auto"/>
        <w:ind w:left="0"/>
      </w:pPr>
      <w:r>
        <w:object>
          <v:shape id="_x0000_i1026" style="width:414pt;height:80pt;mso-width-percent:0;mso-height-percent:0;mso-width-percent:0;mso-height-percent:0" type="#_x0000_t75" o:ole="">
            <v:imagedata r:id="rId19" o:title=""/>
          </v:shape>
          <o:OLEObject DrawAspect="Icon" ObjectID="_1718471220" ProgID="Excel.Sheet.12" ShapeID="_x0000_i1026" Type="Embed" r:id="rId18"/>
        </w:object>
      </w:r>
    </w:p>
    <w:p>
      <w:pPr>
        <w:spacing w:after="120"/>
        <w:ind w:left="0"/>
        <w:jc w:val="center"/>
      </w:pPr>
      <w:r>
        <w:rPr>
          <w:rFonts w:eastAsia="等线" w:ascii="Arial" w:cs="Arial" w:hAnsi="Arial"/>
          <w:b w:val="true"/>
          <w:sz w:val="22"/>
        </w:rPr>
        <w:t>点击图片可查看完整电子表格</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结论：</w:t>
            </w:r>
          </w:p>
          <w:p>
            <w:pPr>
              <w:spacing w:before="120" w:after="120" w:line="288" w:lineRule="auto"/>
              <w:ind w:left="0"/>
              <w:jc w:val="left"/>
            </w:pPr>
            <w:r>
              <w:rPr>
                <w:rFonts w:eastAsia="等线" w:ascii="Arial" w:cs="Arial" w:hAnsi="Arial"/>
                <w:sz w:val="22"/>
              </w:rPr>
              <w:t>1.</w:t>
            </w:r>
            <w:r>
              <w:rPr>
                <w:rFonts w:eastAsia="等线" w:ascii="Arial" w:cs="Arial" w:hAnsi="Arial"/>
                <w:sz w:val="22"/>
              </w:rPr>
              <w:t>9月</w:t>
            </w:r>
            <w:r>
              <w:rPr>
                <w:rFonts w:eastAsia="等线" w:ascii="Arial" w:cs="Arial" w:hAnsi="Arial"/>
                <w:sz w:val="22"/>
              </w:rPr>
              <w:t>M-0</w:t>
            </w:r>
            <w:r>
              <w:rPr>
                <w:rFonts w:eastAsia="等线" w:ascii="Arial" w:cs="Arial" w:hAnsi="Arial"/>
                <w:sz w:val="22"/>
              </w:rPr>
              <w:t>，M-1</w:t>
            </w:r>
          </w:p>
          <w:p>
            <w:pPr>
              <w:spacing w:before="120" w:after="120" w:line="288" w:lineRule="auto"/>
              <w:ind w:left="0"/>
              <w:jc w:val="left"/>
            </w:pPr>
            <w:r>
              <w:rPr>
                <w:rFonts w:eastAsia="等线" w:ascii="Arial" w:cs="Arial" w:hAnsi="Arial"/>
                <w:sz w:val="22"/>
              </w:rPr>
              <w:t>1）企业项目（挨西拉），按照客户需求分批下单，客户需求灵活-</w:t>
            </w:r>
            <w:r>
              <w:rPr>
                <w:rFonts w:eastAsia="等线" w:ascii="Arial" w:cs="Arial" w:hAnsi="Arial"/>
                <w:b w:val="true"/>
                <w:i w:val="true"/>
                <w:color w:val="2ea121"/>
                <w:sz w:val="22"/>
                <w:u w:val="single"/>
              </w:rPr>
              <w:t>可以避免</w:t>
            </w:r>
          </w:p>
          <w:p>
            <w:pPr>
              <w:spacing w:before="120" w:after="120" w:line="288" w:lineRule="auto"/>
              <w:ind w:left="0"/>
              <w:jc w:val="left"/>
            </w:pPr>
            <w:r>
              <w:rPr>
                <w:rFonts w:eastAsia="等线" w:ascii="Arial" w:cs="Arial" w:hAnsi="Arial"/>
                <w:sz w:val="22"/>
              </w:rPr>
              <w:t>2）AIGC项目，没签署合同，并且要货计划客户没有明确，销售按“下单时间”的指导操作，也没做准</w:t>
            </w:r>
            <w:r>
              <w:rPr>
                <w:rFonts w:eastAsia="等线" w:ascii="Arial" w:cs="Arial" w:hAnsi="Arial"/>
                <w:b w:val="true"/>
                <w:i w:val="true"/>
                <w:color w:val="245bdb"/>
                <w:sz w:val="22"/>
              </w:rPr>
              <w:t>-该类型的项目预测下单时间的方法可能需要精进</w:t>
            </w:r>
          </w:p>
          <w:p>
            <w:pPr>
              <w:spacing w:before="120" w:after="120" w:line="288" w:lineRule="auto"/>
              <w:ind w:left="0"/>
              <w:jc w:val="left"/>
            </w:pPr>
            <w:r>
              <w:rPr>
                <w:rFonts w:eastAsia="等线" w:ascii="Arial" w:cs="Arial" w:hAnsi="Arial"/>
                <w:sz w:val="22"/>
              </w:rPr>
              <w:t>2）订单类型为销售借用订单，</w:t>
            </w:r>
            <w:r>
              <w:rPr>
                <w:rFonts w:eastAsia="等线" w:ascii="Arial" w:cs="Arial" w:hAnsi="Arial"/>
                <w:color w:val="d83931"/>
                <w:sz w:val="22"/>
              </w:rPr>
              <w:t>不应进入下单时间准确-</w:t>
            </w:r>
            <w:r>
              <w:rPr>
                <w:rFonts w:eastAsia="等线" w:ascii="Arial" w:cs="Arial" w:hAnsi="Arial"/>
                <w:b w:val="true"/>
                <w:color w:val="d83931"/>
                <w:sz w:val="22"/>
              </w:rPr>
              <w:t xml:space="preserve"> 数据统计问题</w:t>
            </w:r>
          </w:p>
        </w:tc>
      </w:tr>
    </w:tbl>
    <w:p>
      <w:pPr>
        <w:numPr>
          <w:numId w:val="9"/>
        </w:numPr>
        <w:spacing w:before="120" w:after="120" w:line="288" w:lineRule="auto"/>
        <w:ind w:left="0"/>
        <w:jc w:val="left"/>
      </w:pPr>
      <w:r>
        <w:rPr>
          <w:rFonts w:eastAsia="等线" w:ascii="Arial" w:cs="Arial" w:hAnsi="Arial"/>
          <w:sz w:val="22"/>
        </w:rPr>
        <w:t>上海区域8、9、10 更多没有做准的项目（未预测下单，预测未下单）</w:t>
      </w:r>
    </w:p>
    <w:p>
      <w:pPr>
        <w:spacing w:before="120" w:after="120" w:line="288" w:lineRule="auto"/>
        <w:ind w:left="0"/>
      </w:pPr>
      <w:r>
        <w:object>
          <v:shape id="_x0000_i1027" style="width:414pt;height:197pt;mso-width-percent:0;mso-height-percent:0;mso-width-percent:0;mso-height-percent:0" type="#_x0000_t75" o:ole="">
            <v:imagedata r:id="rId21" o:title=""/>
          </v:shape>
          <o:OLEObject DrawAspect="Icon" ObjectID="_1718471221" ProgID="Excel.Sheet.12" ShapeID="_x0000_i1027" Type="Embed" r:id="rId20"/>
        </w:object>
      </w:r>
    </w:p>
    <w:p>
      <w:pPr>
        <w:spacing w:after="120"/>
        <w:ind w:left="0"/>
        <w:jc w:val="center"/>
      </w:pPr>
      <w:r>
        <w:rPr>
          <w:rFonts w:eastAsia="等线" w:ascii="Arial" w:cs="Arial" w:hAnsi="Arial"/>
          <w:b w:val="true"/>
          <w:sz w:val="22"/>
        </w:rPr>
        <w:t>点击图片可查看完整电子表格</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结论：</w:t>
            </w:r>
          </w:p>
          <w:p>
            <w:pPr>
              <w:spacing w:before="120" w:after="120" w:line="288" w:lineRule="auto"/>
              <w:ind w:left="0"/>
              <w:jc w:val="left"/>
            </w:pPr>
            <w:r>
              <w:rPr>
                <w:rFonts w:eastAsia="等线" w:ascii="Arial" w:cs="Arial" w:hAnsi="Arial"/>
                <w:sz w:val="22"/>
              </w:rPr>
              <w:t>1)未预测下单</w:t>
            </w:r>
            <w:r>
              <w:rPr>
                <w:rFonts w:eastAsia="等线" w:ascii="Arial" w:cs="Arial" w:hAnsi="Arial"/>
                <w:sz w:val="22"/>
              </w:rPr>
              <w:t>，9个项目</w:t>
            </w:r>
          </w:p>
          <w:p>
            <w:pPr>
              <w:numPr>
                <w:numId w:val="10"/>
              </w:numPr>
              <w:spacing w:before="120" w:after="120" w:line="288" w:lineRule="auto"/>
              <w:ind w:left="0"/>
              <w:jc w:val="left"/>
            </w:pPr>
            <w:r>
              <w:rPr>
                <w:rFonts w:eastAsia="等线" w:ascii="Arial" w:cs="Arial" w:hAnsi="Arial"/>
                <w:sz w:val="22"/>
              </w:rPr>
              <w:t>1</w:t>
            </w:r>
            <w:r>
              <w:rPr>
                <w:rFonts w:eastAsia="等线" w:ascii="Arial" w:cs="Arial" w:hAnsi="Arial"/>
                <w:sz w:val="22"/>
              </w:rPr>
              <w:t>个</w:t>
            </w:r>
            <w:r>
              <w:rPr>
                <w:rFonts w:eastAsia="等线" w:ascii="Arial" w:cs="Arial" w:hAnsi="Arial"/>
                <w:sz w:val="22"/>
              </w:rPr>
              <w:t>翻盘</w:t>
            </w:r>
            <w:r>
              <w:rPr>
                <w:rFonts w:eastAsia="等线" w:ascii="Arial" w:cs="Arial" w:hAnsi="Arial"/>
                <w:sz w:val="22"/>
              </w:rPr>
              <w:t>项目</w:t>
            </w:r>
            <w:r>
              <w:rPr>
                <w:rFonts w:eastAsia="等线" w:ascii="Arial" w:cs="Arial" w:hAnsi="Arial"/>
                <w:sz w:val="22"/>
              </w:rPr>
              <w:t>，1个AIGC没签署合同，1个资金没到位且着急要货-</w:t>
            </w:r>
            <w:r>
              <w:rPr>
                <w:rFonts w:eastAsia="等线" w:ascii="Arial" w:cs="Arial" w:hAnsi="Arial"/>
                <w:b w:val="true"/>
                <w:i w:val="true"/>
                <w:color w:val="de7802"/>
                <w:sz w:val="22"/>
                <w:u w:val="single"/>
              </w:rPr>
              <w:t>客观情况导致  占比33%</w:t>
            </w:r>
          </w:p>
          <w:p>
            <w:pPr>
              <w:numPr>
                <w:numId w:val="11"/>
              </w:numPr>
              <w:spacing w:before="120" w:after="120" w:line="288" w:lineRule="auto"/>
              <w:ind w:left="0"/>
              <w:jc w:val="left"/>
            </w:pPr>
            <w:r>
              <w:rPr>
                <w:rFonts w:eastAsia="等线" w:ascii="Arial" w:cs="Arial" w:hAnsi="Arial"/>
                <w:sz w:val="22"/>
              </w:rPr>
              <w:t>企业项目框采</w:t>
            </w:r>
            <w:r>
              <w:rPr>
                <w:rFonts w:eastAsia="等线" w:ascii="Arial" w:cs="Arial" w:hAnsi="Arial"/>
                <w:sz w:val="22"/>
              </w:rPr>
              <w:t>2</w:t>
            </w:r>
            <w:r>
              <w:rPr>
                <w:rFonts w:eastAsia="等线" w:ascii="Arial" w:cs="Arial" w:hAnsi="Arial"/>
                <w:sz w:val="22"/>
              </w:rPr>
              <w:t>个，按照客户需求分批下单，客户需求灵活-</w:t>
            </w:r>
            <w:r>
              <w:rPr>
                <w:rFonts w:eastAsia="等线" w:ascii="Arial" w:cs="Arial" w:hAnsi="Arial"/>
                <w:b w:val="true"/>
                <w:i w:val="true"/>
                <w:color w:val="245bdb"/>
                <w:sz w:val="22"/>
                <w:u w:val="single"/>
              </w:rPr>
              <w:t xml:space="preserve">框采分批下单类型项目，做准T的方法需要精进 </w:t>
            </w:r>
          </w:p>
          <w:p>
            <w:pPr>
              <w:numPr>
                <w:numId w:val="12"/>
              </w:numPr>
              <w:spacing w:before="120" w:after="120" w:line="288" w:lineRule="auto"/>
              <w:ind w:left="0"/>
              <w:jc w:val="left"/>
            </w:pPr>
            <w:r>
              <w:rPr>
                <w:rFonts w:eastAsia="等线" w:ascii="Arial" w:cs="Arial" w:hAnsi="Arial"/>
                <w:sz w:val="22"/>
              </w:rPr>
              <w:t>预测取值后创建的商机2个，</w:t>
            </w:r>
            <w:r>
              <w:rPr>
                <w:rFonts w:eastAsia="等线" w:ascii="Arial" w:cs="Arial" w:hAnsi="Arial"/>
                <w:sz w:val="22"/>
              </w:rPr>
              <w:t>AIGC增补项目，老客户零散资金采购，</w:t>
            </w:r>
            <w:r>
              <w:rPr>
                <w:rFonts w:eastAsia="等线" w:ascii="Arial" w:cs="Arial" w:hAnsi="Arial"/>
                <w:sz w:val="22"/>
              </w:rPr>
              <w:t>未及时了解到续采商机-</w:t>
            </w:r>
            <w:r>
              <w:rPr>
                <w:rFonts w:eastAsia="等线" w:ascii="Arial" w:cs="Arial" w:hAnsi="Arial"/>
                <w:b w:val="true"/>
                <w:i w:val="true"/>
                <w:color w:val="2ea121"/>
                <w:sz w:val="22"/>
                <w:u w:val="single"/>
              </w:rPr>
              <w:t>可以避免</w:t>
            </w:r>
            <w:r>
              <w:rPr>
                <w:rFonts w:eastAsia="等线" w:ascii="Arial" w:cs="Arial" w:hAnsi="Arial"/>
                <w:b w:val="true"/>
                <w:i w:val="true"/>
                <w:color w:val="2ea121"/>
                <w:sz w:val="22"/>
                <w:u w:val="single"/>
              </w:rPr>
              <w:t>，占比22%</w:t>
            </w:r>
          </w:p>
          <w:p>
            <w:pPr>
              <w:numPr>
                <w:numId w:val="13"/>
              </w:numPr>
              <w:spacing w:before="120" w:after="120" w:line="288" w:lineRule="auto"/>
              <w:ind w:left="0"/>
              <w:jc w:val="left"/>
            </w:pPr>
            <w:r>
              <w:rPr>
                <w:rFonts w:eastAsia="等线" w:ascii="Arial" w:cs="Arial" w:hAnsi="Arial"/>
                <w:sz w:val="22"/>
              </w:rPr>
              <w:t>销售没有与客户确认清楚要货计划1个-</w:t>
            </w:r>
            <w:r>
              <w:rPr>
                <w:rFonts w:eastAsia="等线" w:ascii="Arial" w:cs="Arial" w:hAnsi="Arial"/>
                <w:b w:val="true"/>
                <w:i w:val="true"/>
                <w:color w:val="2ea121"/>
                <w:sz w:val="22"/>
                <w:u w:val="single"/>
              </w:rPr>
              <w:t>执行问题，可以避免，占比11%</w:t>
            </w:r>
          </w:p>
          <w:p>
            <w:pPr>
              <w:spacing w:before="120" w:after="120" w:line="288" w:lineRule="auto"/>
              <w:ind w:left="0"/>
              <w:jc w:val="left"/>
            </w:pPr>
            <w:r>
              <w:rPr>
                <w:rFonts w:eastAsia="等线" w:ascii="Arial" w:cs="Arial" w:hAnsi="Arial"/>
                <w:sz w:val="22"/>
              </w:rPr>
              <w:t>2)预测未下单</w:t>
            </w:r>
            <w:r>
              <w:rPr>
                <w:rFonts w:eastAsia="等线" w:ascii="Arial" w:cs="Arial" w:hAnsi="Arial"/>
                <w:sz w:val="22"/>
              </w:rPr>
              <w:t>，9个项目</w:t>
            </w:r>
          </w:p>
          <w:p>
            <w:pPr>
              <w:numPr>
                <w:numId w:val="14"/>
              </w:numPr>
              <w:spacing w:before="120" w:after="120" w:line="288" w:lineRule="auto"/>
              <w:ind w:left="0"/>
              <w:jc w:val="left"/>
            </w:pPr>
            <w:r>
              <w:rPr>
                <w:rFonts w:eastAsia="等线" w:ascii="Arial" w:cs="Arial" w:hAnsi="Arial"/>
                <w:sz w:val="22"/>
              </w:rPr>
              <w:t>3个质疑，1个流标，1个因资金问题被搁置-</w:t>
            </w:r>
            <w:r>
              <w:rPr>
                <w:rFonts w:eastAsia="等线" w:ascii="Arial" w:cs="Arial" w:hAnsi="Arial"/>
                <w:b w:val="true"/>
                <w:i w:val="true"/>
                <w:color w:val="de7802"/>
                <w:sz w:val="22"/>
                <w:u w:val="single"/>
              </w:rPr>
              <w:t>客观情况导致，不</w:t>
            </w:r>
            <w:r>
              <w:rPr>
                <w:rFonts w:eastAsia="等线" w:ascii="Arial" w:cs="Arial" w:hAnsi="Arial"/>
                <w:b w:val="true"/>
                <w:i w:val="true"/>
                <w:color w:val="de7802"/>
                <w:sz w:val="22"/>
                <w:u w:val="single"/>
              </w:rPr>
              <w:t>可避免</w:t>
            </w:r>
            <w:r>
              <w:rPr>
                <w:rFonts w:eastAsia="等线" w:ascii="Arial" w:cs="Arial" w:hAnsi="Arial"/>
                <w:b w:val="true"/>
                <w:i w:val="true"/>
                <w:color w:val="de7802"/>
                <w:sz w:val="22"/>
                <w:u w:val="single"/>
              </w:rPr>
              <w:t xml:space="preserve"> 占比 56%</w:t>
            </w:r>
          </w:p>
          <w:p>
            <w:pPr>
              <w:numPr>
                <w:numId w:val="15"/>
              </w:numPr>
              <w:spacing w:before="120" w:after="120" w:line="288" w:lineRule="auto"/>
              <w:ind w:left="0"/>
              <w:jc w:val="left"/>
            </w:pPr>
            <w:r>
              <w:rPr>
                <w:rFonts w:eastAsia="等线" w:ascii="Arial" w:cs="Arial" w:hAnsi="Arial"/>
                <w:sz w:val="22"/>
              </w:rPr>
              <w:t>1个金额缩水兑现(N不明确)，2个要货时间未明确准入预测，1个AIGC因总包资金未收齐项目搁置-</w:t>
            </w:r>
            <w:r>
              <w:rPr>
                <w:rFonts w:eastAsia="等线" w:ascii="Arial" w:cs="Arial" w:hAnsi="Arial"/>
                <w:b w:val="true"/>
                <w:i w:val="true"/>
                <w:color w:val="2ea121"/>
                <w:sz w:val="22"/>
                <w:u w:val="single"/>
              </w:rPr>
              <w:t>有机会可以做准</w:t>
            </w:r>
          </w:p>
          <w:p>
            <w:pPr>
              <w:spacing w:before="120" w:after="120" w:line="288" w:lineRule="auto"/>
              <w:ind w:left="0"/>
              <w:jc w:val="left"/>
            </w:pPr>
            <w:r>
              <w:rPr>
                <w:rFonts w:eastAsia="等线" w:ascii="Arial" w:cs="Arial" w:hAnsi="Arial"/>
                <w:sz w:val="22"/>
              </w:rPr>
              <w:t>3</w:t>
            </w:r>
            <w:r>
              <w:rPr>
                <w:rFonts w:eastAsia="等线" w:ascii="Arial" w:cs="Arial" w:hAnsi="Arial"/>
                <w:sz w:val="22"/>
              </w:rPr>
              <w:t>）M-2 因为是7月19日才开始试点，数据目前体现不出来，待10月数据做复盘</w:t>
            </w:r>
          </w:p>
        </w:tc>
      </w:tr>
    </w:tbl>
    <w:p>
      <w:pPr>
        <w:numPr>
          <w:numId w:val="16"/>
        </w:numPr>
        <w:spacing w:before="120" w:after="120" w:line="288" w:lineRule="auto"/>
        <w:ind w:left="0"/>
        <w:jc w:val="left"/>
      </w:pPr>
      <w:r>
        <w:rPr>
          <w:rFonts w:eastAsia="等线" w:ascii="Arial" w:cs="Arial" w:hAnsi="Arial"/>
          <w:sz w:val="22"/>
        </w:rPr>
        <w:t>上海区域9月“要货时间”  做的不准的项目清单</w:t>
      </w:r>
    </w:p>
    <w:p>
      <w:pPr>
        <w:spacing w:before="120" w:after="120" w:line="288" w:lineRule="auto"/>
        <w:ind w:left="0"/>
      </w:pPr>
      <w:r>
        <w:object>
          <v:shape id="_x0000_i1028" style="width:414pt;height:197pt;mso-width-percent:0;mso-height-percent:0;mso-width-percent:0;mso-height-percent:0" type="#_x0000_t75" o:ole="">
            <v:imagedata r:id="rId23" o:title=""/>
          </v:shape>
          <o:OLEObject DrawAspect="Icon" ObjectID="_1718471222" ProgID="Excel.Sheet.12" ShapeID="_x0000_i1028" Type="Embed" r:id="rId22"/>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复盘未发现因为未按照3T标准校准要货或者未及时更新CRM导致要货时间不准，不准的原因有如下几种：</w:t>
      </w:r>
    </w:p>
    <w:p>
      <w:pPr>
        <w:numPr>
          <w:numId w:val="17"/>
        </w:numPr>
        <w:spacing w:before="120" w:after="120" w:line="288" w:lineRule="auto"/>
        <w:ind w:left="0"/>
        <w:jc w:val="left"/>
      </w:pPr>
      <w:r>
        <w:rPr>
          <w:rFonts w:eastAsia="等线" w:ascii="Arial" w:cs="Arial" w:hAnsi="Arial"/>
          <w:sz w:val="22"/>
        </w:rPr>
        <w:t>原因1：系统原因，数据缺失——分批承诺预测下单项目缺少分批的要货时间</w:t>
      </w:r>
    </w:p>
    <w:p>
      <w:pPr>
        <w:numPr>
          <w:numId w:val="18"/>
        </w:numPr>
        <w:spacing w:before="120" w:after="120" w:line="288" w:lineRule="auto"/>
        <w:ind w:left="0"/>
        <w:jc w:val="left"/>
      </w:pPr>
      <w:r>
        <w:rPr>
          <w:rFonts w:eastAsia="等线" w:ascii="Arial" w:cs="Arial" w:hAnsi="Arial"/>
          <w:sz w:val="22"/>
        </w:rPr>
        <w:t>改善计划：需要在CRM分批承诺预测中增加要货时间的填写及对应的配置清单</w:t>
      </w:r>
    </w:p>
    <w:p>
      <w:pPr>
        <w:spacing w:before="120" w:after="120" w:line="288" w:lineRule="auto"/>
        <w:ind w:left="0"/>
        <w:jc w:val="center"/>
      </w:pPr>
      <w:r>
        <w:drawing>
          <wp:inline distT="0" distR="0" distB="0" distL="0">
            <wp:extent cx="5257800" cy="282892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24"/>
                    <a:stretch>
                      <a:fillRect/>
                    </a:stretch>
                  </pic:blipFill>
                  <pic:spPr>
                    <a:xfrm>
                      <a:off x="0" y="0"/>
                      <a:ext cx="5257800" cy="28289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原因2：特殊订单类型，如销售借用转销售</w:t>
      </w:r>
    </w:p>
    <w:p>
      <w:pPr>
        <w:spacing w:before="120" w:after="120" w:line="288" w:lineRule="auto"/>
        <w:ind w:left="0"/>
        <w:jc w:val="left"/>
      </w:pPr>
      <w:r>
        <w:rPr>
          <w:rFonts w:eastAsia="等线" w:ascii="Arial" w:cs="Arial" w:hAnsi="Arial"/>
          <w:sz w:val="22"/>
        </w:rPr>
        <w:t>改善计划：后续在统计数据中，借转销订单类型不计入准确性统计</w:t>
      </w:r>
    </w:p>
    <w:p>
      <w:pPr>
        <w:numPr>
          <w:numId w:val="19"/>
        </w:numPr>
        <w:spacing w:before="120" w:after="120" w:line="288" w:lineRule="auto"/>
        <w:ind w:left="0"/>
        <w:jc w:val="left"/>
      </w:pPr>
      <w:r>
        <w:rPr>
          <w:rFonts w:eastAsia="等线" w:ascii="Arial" w:cs="Arial" w:hAnsi="Arial"/>
          <w:sz w:val="22"/>
        </w:rPr>
        <w:t>山东区域试点数据分析：</w:t>
      </w:r>
    </w:p>
    <w:p>
      <w:pPr>
        <w:spacing w:before="120" w:after="120" w:line="288" w:lineRule="auto"/>
        <w:ind w:left="0"/>
        <w:jc w:val="left"/>
      </w:pPr>
      <w:r>
        <w:rPr>
          <w:rFonts w:eastAsia="等线" w:ascii="Arial" w:cs="Arial" w:hAnsi="Arial"/>
          <w:b w:val="true"/>
          <w:sz w:val="22"/>
          <w:shd w:fill="fff67a"/>
        </w:rPr>
        <w:t>下单/要货时间-山东区域，做的不准的项目是什么情况？</w:t>
      </w:r>
    </w:p>
    <w:p>
      <w:pPr>
        <w:numPr>
          <w:numId w:val="20"/>
        </w:numPr>
        <w:spacing w:before="120" w:after="120" w:line="288" w:lineRule="auto"/>
        <w:ind w:left="0"/>
        <w:jc w:val="left"/>
      </w:pPr>
      <w:r>
        <w:rPr>
          <w:rFonts w:eastAsia="等线" w:ascii="Arial" w:cs="Arial" w:hAnsi="Arial"/>
          <w:sz w:val="22"/>
        </w:rPr>
        <w:t>山东区域8-10月下单时间 M-0做的不准的项目情况分析：</w:t>
      </w:r>
    </w:p>
    <w:p>
      <w:pPr>
        <w:spacing w:before="120" w:after="120" w:line="288" w:lineRule="auto"/>
        <w:ind w:left="0"/>
      </w:pPr>
      <w:r>
        <w:object>
          <v:shape id="_x0000_i1029" style="width:414pt;height:58pt;mso-width-percent:0;mso-height-percent:0;mso-width-percent:0;mso-height-percent:0" type="#_x0000_t75" o:ole="">
            <v:imagedata r:id="rId26" o:title=""/>
          </v:shape>
          <o:OLEObject DrawAspect="Icon" ObjectID="_1718471223" ProgID="Excel.Sheet.12" ShapeID="_x0000_i1029" Type="Embed" r:id="rId2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项目复盘：</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标准：</w:t>
            </w:r>
          </w:p>
          <w:p>
            <w:pPr>
              <w:spacing w:before="120" w:after="120" w:line="288" w:lineRule="auto"/>
              <w:ind w:left="0"/>
              <w:jc w:val="left"/>
            </w:pPr>
            <w:r>
              <w:rPr>
                <w:rFonts w:eastAsia="等线" w:ascii="Arial" w:cs="Arial" w:hAnsi="Arial"/>
                <w:sz w:val="22"/>
              </w:rPr>
              <w:t>正规招投标项目</w:t>
            </w:r>
            <w:r>
              <w:rPr>
                <w:rFonts w:eastAsia="等线" w:ascii="Arial" w:cs="Arial" w:hAnsi="Arial"/>
                <w:color w:val="d83931"/>
                <w:sz w:val="22"/>
              </w:rPr>
              <w:t>已经中标</w:t>
            </w:r>
            <w:r>
              <w:rPr>
                <w:rFonts w:eastAsia="等线" w:ascii="Arial" w:cs="Arial" w:hAnsi="Arial"/>
                <w:sz w:val="22"/>
              </w:rPr>
              <w:t>，或ICT投融资/三头弱电项目必须是投资商/弱电商与我司签订合同，且确定在这个月要货的项目。</w:t>
            </w:r>
          </w:p>
        </w:tc>
      </w:tr>
    </w:tbl>
    <w:p>
      <w:pPr>
        <w:spacing w:before="120" w:after="120" w:line="288" w:lineRule="auto"/>
        <w:ind w:left="0"/>
      </w:pPr>
      <w:r>
        <w:object>
          <v:shape id="_x0000_i1030" style="width:414pt;height:153pt;mso-width-percent:0;mso-height-percent:0;mso-width-percent:0;mso-height-percent:0" type="#_x0000_t75" o:ole="">
            <v:imagedata r:id="rId28" o:title=""/>
          </v:shape>
          <o:OLEObject DrawAspect="Icon" ObjectID="_1718471224" ProgID="Excel.Sheet.12" ShapeID="_x0000_i1030" Type="Embed" r:id="rId2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center"/>
      </w:pPr>
      <w:r>
        <w:drawing>
          <wp:inline distT="0" distR="0" distB="0" distL="0">
            <wp:extent cx="5257800" cy="41910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29"/>
                    <a:stretch>
                      <a:fillRect/>
                    </a:stretch>
                  </pic:blipFill>
                  <pic:spPr>
                    <a:xfrm>
                      <a:off x="0" y="0"/>
                      <a:ext cx="5257800" cy="419100"/>
                    </a:xfrm>
                    <a:prstGeom prst="rect">
                      <a:avLst/>
                    </a:prstGeom>
                  </pic:spPr>
                </pic:pic>
              </a:graphicData>
            </a:graphic>
          </wp:inline>
        </w:drawing>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根因：</w:t>
            </w:r>
          </w:p>
          <w:p>
            <w:pPr>
              <w:numPr>
                <w:numId w:val="21"/>
              </w:numPr>
              <w:spacing w:before="120" w:after="120" w:line="288" w:lineRule="auto"/>
              <w:ind w:left="0"/>
              <w:jc w:val="left"/>
            </w:pPr>
            <w:r>
              <w:rPr>
                <w:rFonts w:eastAsia="等线" w:ascii="Arial" w:cs="Arial" w:hAnsi="Arial"/>
                <w:sz w:val="22"/>
              </w:rPr>
              <w:t>2个教育暑期建设项目，做预测时还没有签署合同，要求8月到货实施后补流程-</w:t>
            </w:r>
            <w:r>
              <w:rPr>
                <w:rFonts w:eastAsia="等线" w:ascii="Arial" w:cs="Arial" w:hAnsi="Arial"/>
                <w:b w:val="true"/>
                <w:i w:val="true"/>
                <w:color w:val="de7802"/>
                <w:sz w:val="22"/>
                <w:u w:val="single"/>
              </w:rPr>
              <w:t>不可避免</w:t>
            </w:r>
          </w:p>
          <w:p>
            <w:pPr>
              <w:numPr>
                <w:numId w:val="22"/>
              </w:numPr>
              <w:spacing w:before="120" w:after="120" w:line="288" w:lineRule="auto"/>
              <w:ind w:left="453"/>
              <w:jc w:val="left"/>
            </w:pPr>
            <w:r>
              <w:rPr>
                <w:rFonts w:eastAsia="等线" w:ascii="Arial" w:cs="Arial" w:hAnsi="Arial"/>
                <w:sz w:val="22"/>
              </w:rPr>
              <w:t>根因：</w:t>
            </w:r>
            <w:r>
              <w:rPr>
                <w:rFonts w:eastAsia="等线" w:ascii="Arial" w:cs="Arial" w:hAnsi="Arial"/>
                <w:sz w:val="22"/>
                <w:shd w:fill="fff67a"/>
              </w:rPr>
              <w:t>承诺时没有签署合同，竞争激烈，非优势项目把控力弱，难以预测赢单</w:t>
            </w:r>
          </w:p>
          <w:p>
            <w:pPr>
              <w:numPr>
                <w:numId w:val="23"/>
              </w:numPr>
              <w:spacing w:before="120" w:after="120" w:line="288" w:lineRule="auto"/>
              <w:ind w:left="0"/>
              <w:jc w:val="left"/>
            </w:pPr>
            <w:r>
              <w:rPr>
                <w:rFonts w:eastAsia="等线" w:ascii="Arial" w:cs="Arial" w:hAnsi="Arial"/>
                <w:sz w:val="22"/>
              </w:rPr>
              <w:t>1个赶进度下单项目，提前下单约货30天-</w:t>
            </w:r>
            <w:r>
              <w:rPr>
                <w:rFonts w:eastAsia="等线" w:ascii="Arial" w:cs="Arial" w:hAnsi="Arial"/>
                <w:b w:val="true"/>
                <w:i w:val="true"/>
                <w:color w:val="2ea121"/>
                <w:sz w:val="22"/>
                <w:u w:val="single"/>
              </w:rPr>
              <w:t>可以避免</w:t>
            </w:r>
          </w:p>
          <w:p>
            <w:pPr>
              <w:numPr>
                <w:numId w:val="24"/>
              </w:numPr>
              <w:spacing w:before="120" w:after="120" w:line="288" w:lineRule="auto"/>
              <w:ind w:left="453"/>
              <w:jc w:val="left"/>
            </w:pPr>
            <w:r>
              <w:rPr>
                <w:rFonts w:eastAsia="等线" w:ascii="Arial" w:cs="Arial" w:hAnsi="Arial"/>
                <w:sz w:val="22"/>
                <w:shd w:fill="fff67a"/>
              </w:rPr>
              <w:t>根因：赶进度下单</w:t>
            </w:r>
          </w:p>
          <w:p>
            <w:pPr>
              <w:spacing w:before="120" w:after="120" w:line="288" w:lineRule="auto"/>
              <w:ind w:left="0"/>
              <w:jc w:val="left"/>
            </w:pPr>
            <w:r>
              <w:rPr>
                <w:rFonts w:eastAsia="等线" w:ascii="Arial" w:cs="Arial" w:hAnsi="Arial"/>
                <w:sz w:val="22"/>
              </w:rPr>
              <w:t>举措：严格按照未承诺流程做落地管理，承诺前杜绝多做流水和固折做冗余，承诺后对于补数项目严格审批，不允许未承诺下单。</w:t>
            </w:r>
          </w:p>
        </w:tc>
      </w:tr>
    </w:tbl>
    <w:p>
      <w:pPr>
        <w:numPr>
          <w:numId w:val="25"/>
        </w:numPr>
        <w:spacing w:before="120" w:after="120" w:line="288" w:lineRule="auto"/>
        <w:ind w:left="0"/>
        <w:jc w:val="left"/>
      </w:pPr>
      <w:r>
        <w:rPr>
          <w:rFonts w:eastAsia="等线" w:ascii="Arial" w:cs="Arial" w:hAnsi="Arial"/>
          <w:sz w:val="22"/>
        </w:rPr>
        <w:t>山东区域8-10月下单时间 M-1做的不准的项目情况及分析</w:t>
      </w:r>
    </w:p>
    <w:p>
      <w:pPr>
        <w:spacing w:before="120" w:after="120" w:line="288" w:lineRule="auto"/>
        <w:ind w:left="0"/>
      </w:pPr>
      <w:r>
        <w:object>
          <v:shape id="_x0000_i1031" style="width:414pt;height:80pt;mso-width-percent:0;mso-height-percent:0;mso-width-percent:0;mso-height-percent:0" type="#_x0000_t75" o:ole="">
            <v:imagedata r:id="rId31" o:title=""/>
          </v:shape>
          <o:OLEObject DrawAspect="Icon" ObjectID="_1718471225" ProgID="Excel.Sheet.12" ShapeID="_x0000_i1031" Type="Embed" r:id="rId3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项目复盘：</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标准：</w:t>
            </w:r>
          </w:p>
          <w:p>
            <w:pPr>
              <w:spacing w:before="120" w:after="120" w:line="288" w:lineRule="auto"/>
              <w:ind w:left="0"/>
              <w:jc w:val="left"/>
            </w:pPr>
            <w:r>
              <w:rPr>
                <w:rFonts w:eastAsia="等线" w:ascii="Arial" w:cs="Arial" w:hAnsi="Arial"/>
                <w:sz w:val="22"/>
              </w:rPr>
              <w:t>正规招投标项目</w:t>
            </w:r>
            <w:r>
              <w:rPr>
                <w:rFonts w:eastAsia="等线" w:ascii="Arial" w:cs="Arial" w:hAnsi="Arial"/>
                <w:color w:val="d83931"/>
                <w:sz w:val="22"/>
              </w:rPr>
              <w:t>已经中标</w:t>
            </w:r>
          </w:p>
          <w:p>
            <w:pPr>
              <w:spacing w:before="120" w:after="120" w:line="288" w:lineRule="auto"/>
              <w:ind w:left="0"/>
              <w:jc w:val="left"/>
            </w:pPr>
            <w:r>
              <w:rPr>
                <w:rFonts w:eastAsia="等线" w:ascii="Arial" w:cs="Arial" w:hAnsi="Arial"/>
                <w:sz w:val="22"/>
              </w:rPr>
              <w:t>或</w:t>
            </w:r>
            <w:r>
              <w:rPr>
                <w:rFonts w:eastAsia="等线" w:ascii="Arial" w:cs="Arial" w:hAnsi="Arial"/>
                <w:color w:val="d83931"/>
                <w:sz w:val="22"/>
              </w:rPr>
              <w:t>ICT投融资/三头弱电项目必须是投资商/弱电商与我司签订合同</w:t>
            </w:r>
            <w:r>
              <w:rPr>
                <w:rFonts w:eastAsia="等线" w:ascii="Arial" w:cs="Arial" w:hAnsi="Arial"/>
                <w:sz w:val="22"/>
              </w:rPr>
              <w:t xml:space="preserve">，且计划在这个月要货。 </w:t>
            </w:r>
          </w:p>
          <w:p>
            <w:pPr>
              <w:spacing w:before="120" w:after="120" w:line="288" w:lineRule="auto"/>
              <w:ind w:left="0"/>
              <w:jc w:val="left"/>
            </w:pPr>
            <w:r>
              <w:rPr>
                <w:rFonts w:eastAsia="等线" w:ascii="Arial" w:cs="Arial" w:hAnsi="Arial"/>
                <w:sz w:val="22"/>
              </w:rPr>
              <w:t>或，正规招投标项目</w:t>
            </w:r>
            <w:r>
              <w:rPr>
                <w:rFonts w:eastAsia="等线" w:ascii="Arial" w:cs="Arial" w:hAnsi="Arial"/>
                <w:color w:val="d83931"/>
                <w:sz w:val="22"/>
              </w:rPr>
              <w:t>已经发标</w:t>
            </w:r>
            <w:r>
              <w:rPr>
                <w:rFonts w:eastAsia="等线" w:ascii="Arial" w:cs="Arial" w:hAnsi="Arial"/>
                <w:sz w:val="22"/>
              </w:rPr>
              <w:t>，且在上个月15号之前能中标，且在这个月要货的项目。</w:t>
            </w:r>
          </w:p>
          <w:p>
            <w:pPr>
              <w:spacing w:before="120" w:after="120" w:line="288" w:lineRule="auto"/>
              <w:ind w:left="0"/>
              <w:jc w:val="left"/>
            </w:pPr>
            <w:r>
              <w:rPr>
                <w:rFonts w:eastAsia="等线" w:ascii="Arial" w:cs="Arial" w:hAnsi="Arial"/>
                <w:sz w:val="22"/>
              </w:rPr>
              <w:t xml:space="preserve"> 或，</w:t>
            </w:r>
            <w:r>
              <w:rPr>
                <w:rFonts w:eastAsia="等线" w:ascii="Arial" w:cs="Arial" w:hAnsi="Arial"/>
                <w:color w:val="d83931"/>
                <w:sz w:val="22"/>
              </w:rPr>
              <w:t>ICT投融资/三头弱电项目投资商/弱电商与我司已经签订合同</w:t>
            </w:r>
            <w:r>
              <w:rPr>
                <w:rFonts w:eastAsia="等线" w:ascii="Arial" w:cs="Arial" w:hAnsi="Arial"/>
                <w:sz w:val="22"/>
              </w:rPr>
              <w:t>，且投资商/弱电商明确以邮件/微信等书面形式确认在这个月要货的项目。</w:t>
            </w:r>
          </w:p>
        </w:tc>
      </w:tr>
    </w:tbl>
    <w:p>
      <w:pPr>
        <w:spacing w:before="120" w:after="120" w:line="288" w:lineRule="auto"/>
        <w:ind w:left="0"/>
      </w:pPr>
      <w:r>
        <w:object>
          <v:shape id="_x0000_i1032" style="width:414pt;height:197pt;mso-width-percent:0;mso-height-percent:0;mso-width-percent:0;mso-height-percent:0" type="#_x0000_t75" o:ole="">
            <v:imagedata r:id="rId33" o:title=""/>
          </v:shape>
          <o:OLEObject DrawAspect="Icon" ObjectID="_1718471226" ProgID="Excel.Sheet.12" ShapeID="_x0000_i1032" Type="Embed" r:id="rId32"/>
        </w:object>
      </w:r>
    </w:p>
    <w:p>
      <w:pPr>
        <w:spacing w:after="120"/>
        <w:ind w:left="0"/>
        <w:jc w:val="center"/>
      </w:pPr>
      <w:r>
        <w:rPr>
          <w:rFonts w:eastAsia="等线" w:ascii="Arial" w:cs="Arial" w:hAnsi="Arial"/>
          <w:b w:val="true"/>
          <w:sz w:val="22"/>
        </w:rPr>
        <w:t>点击图片可查看完整电子表格</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i w:val="true"/>
                <w:color w:val="245bdb"/>
                <w:sz w:val="22"/>
                <w:u w:val="single"/>
              </w:rPr>
              <w:t>未预测下单</w:t>
            </w:r>
          </w:p>
          <w:p>
            <w:pPr>
              <w:spacing w:before="120" w:after="120" w:line="288" w:lineRule="auto"/>
              <w:ind w:left="0"/>
              <w:jc w:val="left"/>
            </w:pPr>
            <w:r>
              <w:rPr>
                <w:rFonts w:eastAsia="等线" w:ascii="Arial" w:cs="Arial" w:hAnsi="Arial"/>
                <w:sz w:val="22"/>
              </w:rPr>
              <w:t>8-10月合计未预测下单12个</w:t>
            </w:r>
          </w:p>
          <w:p>
            <w:pPr>
              <w:numPr>
                <w:numId w:val="26"/>
              </w:numPr>
              <w:spacing w:before="120" w:after="120" w:line="288" w:lineRule="auto"/>
              <w:ind w:left="0"/>
              <w:jc w:val="left"/>
            </w:pPr>
            <w:r>
              <w:rPr>
                <w:rFonts w:eastAsia="等线" w:ascii="Arial" w:cs="Arial" w:hAnsi="Arial"/>
                <w:sz w:val="22"/>
              </w:rPr>
              <w:t>2个企业邀标项目，预测是还未发出邀标公告，且客户内部要货 计划不清楚；2个预测时不具备赢标优势，预测后确定使用我司-</w:t>
            </w:r>
            <w:r>
              <w:rPr>
                <w:rFonts w:eastAsia="等线" w:ascii="Arial" w:cs="Arial" w:hAnsi="Arial"/>
                <w:b w:val="true"/>
                <w:i w:val="true"/>
                <w:color w:val="de7802"/>
                <w:sz w:val="22"/>
                <w:u w:val="single"/>
              </w:rPr>
              <w:t>不可避免</w:t>
            </w:r>
          </w:p>
          <w:p>
            <w:pPr>
              <w:numPr>
                <w:numId w:val="27"/>
              </w:numPr>
              <w:spacing w:before="120" w:after="120" w:line="288" w:lineRule="auto"/>
              <w:ind w:left="453"/>
              <w:jc w:val="left"/>
            </w:pPr>
            <w:r>
              <w:rPr>
                <w:rFonts w:eastAsia="等线" w:ascii="Arial" w:cs="Arial" w:hAnsi="Arial"/>
                <w:sz w:val="22"/>
                <w:shd w:fill="fff67a"/>
              </w:rPr>
              <w:t>根因：企业邀标-采购模式灵活，项目生命周期短，难以预测；非优势项目-竞争激烈，非优势项目把控力弱，难以预测赢单</w:t>
            </w:r>
          </w:p>
          <w:p>
            <w:pPr>
              <w:numPr>
                <w:numId w:val="28"/>
              </w:numPr>
              <w:spacing w:before="120" w:after="120" w:line="288" w:lineRule="auto"/>
              <w:ind w:left="0"/>
              <w:jc w:val="left"/>
            </w:pPr>
            <w:r>
              <w:rPr>
                <w:rFonts w:eastAsia="等线" w:ascii="Arial" w:cs="Arial" w:hAnsi="Arial"/>
                <w:sz w:val="22"/>
              </w:rPr>
              <w:t>4个预测取值后创建项目，4个赶进度项目提前下单约货60天-</w:t>
            </w:r>
            <w:r>
              <w:rPr>
                <w:rFonts w:eastAsia="等线" w:ascii="Arial" w:cs="Arial" w:hAnsi="Arial"/>
                <w:b w:val="true"/>
                <w:i w:val="true"/>
                <w:color w:val="2ea121"/>
                <w:sz w:val="22"/>
                <w:u w:val="single"/>
              </w:rPr>
              <w:t>可以避免</w:t>
            </w:r>
          </w:p>
          <w:p>
            <w:pPr>
              <w:numPr>
                <w:numId w:val="29"/>
              </w:numPr>
              <w:spacing w:before="120" w:after="120" w:line="288" w:lineRule="auto"/>
              <w:ind w:left="453"/>
              <w:jc w:val="left"/>
            </w:pPr>
            <w:r>
              <w:rPr>
                <w:rFonts w:eastAsia="等线" w:ascii="Arial" w:cs="Arial" w:hAnsi="Arial"/>
                <w:sz w:val="22"/>
                <w:shd w:fill="fff67a"/>
              </w:rPr>
              <w:t>根因：新建-知道项目创建不及时；赶进度-季度承诺100%兑现，原预测项目无法兑现换项目补足金额</w:t>
            </w:r>
          </w:p>
          <w:p>
            <w:pPr>
              <w:spacing w:before="120" w:after="120" w:line="288" w:lineRule="auto"/>
              <w:ind w:left="0"/>
              <w:jc w:val="left"/>
            </w:pPr>
            <w:r>
              <w:rPr>
                <w:rFonts w:eastAsia="等线" w:ascii="Arial" w:cs="Arial" w:hAnsi="Arial"/>
                <w:b w:val="true"/>
                <w:i w:val="true"/>
                <w:color w:val="245bdb"/>
                <w:sz w:val="22"/>
                <w:u w:val="single"/>
              </w:rPr>
              <w:t>预测未下单</w:t>
            </w:r>
          </w:p>
          <w:p>
            <w:pPr>
              <w:spacing w:before="120" w:after="120" w:line="288" w:lineRule="auto"/>
              <w:ind w:left="0"/>
              <w:jc w:val="left"/>
            </w:pPr>
            <w:r>
              <w:rPr>
                <w:rFonts w:eastAsia="等线" w:ascii="Arial" w:cs="Arial" w:hAnsi="Arial"/>
                <w:sz w:val="22"/>
              </w:rPr>
              <w:t>8-10月合计预测未下单27个，只有4个符合标准准入。项目去向中可以看到提前1个月下单项目2个，丢单3个，取消1个；后延1个月且下单5个、后延2个月的1个、</w:t>
            </w:r>
            <w:r>
              <w:rPr>
                <w:rFonts w:eastAsia="等线" w:ascii="Arial" w:cs="Arial" w:hAnsi="Arial"/>
                <w:b w:val="true"/>
                <w:i w:val="true"/>
                <w:color w:val="d83931"/>
                <w:sz w:val="22"/>
                <w:u w:val="single"/>
              </w:rPr>
              <w:t>15个后延3个月以上（13个26年），占比56%。区域整体对于下单时间的管理存在非常大的问题</w:t>
            </w:r>
          </w:p>
          <w:p>
            <w:pPr>
              <w:numPr>
                <w:numId w:val="30"/>
              </w:numPr>
              <w:spacing w:before="120" w:after="120" w:line="288" w:lineRule="auto"/>
              <w:ind w:left="0"/>
              <w:jc w:val="left"/>
            </w:pPr>
            <w:r>
              <w:rPr>
                <w:rFonts w:eastAsia="等线" w:ascii="Arial" w:cs="Arial" w:hAnsi="Arial"/>
                <w:sz w:val="22"/>
              </w:rPr>
              <w:t>2个项目因医疗反腐搁置，1个企业邀标项目采购模式灵活（项目生命周期短），2个提前1个月未承诺下单（暑期建设保开学后补流程），难以预测；-</w:t>
            </w:r>
            <w:r>
              <w:rPr>
                <w:rFonts w:eastAsia="等线" w:ascii="Arial" w:cs="Arial" w:hAnsi="Arial"/>
                <w:b w:val="true"/>
                <w:i w:val="true"/>
                <w:color w:val="de7802"/>
                <w:sz w:val="22"/>
                <w:u w:val="single"/>
              </w:rPr>
              <w:t>不可避免</w:t>
            </w:r>
          </w:p>
          <w:p>
            <w:pPr>
              <w:numPr>
                <w:numId w:val="31"/>
              </w:numPr>
              <w:spacing w:before="120" w:after="120" w:line="288" w:lineRule="auto"/>
              <w:ind w:left="453"/>
              <w:jc w:val="left"/>
            </w:pPr>
            <w:r>
              <w:rPr>
                <w:rFonts w:eastAsia="等线" w:ascii="Arial" w:cs="Arial" w:hAnsi="Arial"/>
                <w:sz w:val="22"/>
                <w:shd w:fill="fff67a"/>
              </w:rPr>
              <w:t>根因：医疗反腐入驻时间不明确，难以预测；企业邀标-采购模式灵活，项目生命周期短，难以预测；非优势项目-竞争激烈，非优势项目把控力弱，不敢准入当月承诺，准入下个月预测，赢单后客户着急要货</w:t>
            </w:r>
          </w:p>
          <w:p>
            <w:pPr>
              <w:numPr>
                <w:numId w:val="32"/>
              </w:numPr>
              <w:spacing w:before="120" w:after="120" w:line="288" w:lineRule="auto"/>
              <w:ind w:left="0"/>
              <w:jc w:val="left"/>
            </w:pPr>
            <w:r>
              <w:rPr>
                <w:rFonts w:eastAsia="等线" w:ascii="Arial" w:cs="Arial" w:hAnsi="Arial"/>
                <w:sz w:val="22"/>
              </w:rPr>
              <w:t>3项目丢单-项目把控力弱；-</w:t>
            </w:r>
            <w:r>
              <w:rPr>
                <w:rFonts w:eastAsia="等线" w:ascii="Arial" w:cs="Arial" w:hAnsi="Arial"/>
                <w:b w:val="true"/>
                <w:i w:val="true"/>
                <w:color w:val="de7802"/>
                <w:sz w:val="22"/>
                <w:u w:val="single"/>
              </w:rPr>
              <w:t>不可避免</w:t>
            </w:r>
          </w:p>
          <w:p>
            <w:pPr>
              <w:numPr>
                <w:numId w:val="33"/>
              </w:numPr>
              <w:spacing w:before="120" w:after="120" w:line="288" w:lineRule="auto"/>
              <w:ind w:left="453"/>
              <w:jc w:val="left"/>
            </w:pPr>
            <w:r>
              <w:rPr>
                <w:rFonts w:eastAsia="等线" w:ascii="Arial" w:cs="Arial" w:hAnsi="Arial"/>
                <w:sz w:val="22"/>
                <w:shd w:fill="fff67a"/>
              </w:rPr>
              <w:t>根因：2个非优势项目客户支点涉及组织架构调整问题丢单，1个项目类型从弱电项目变成投融资项目，需要重新走流程，投资商招标价格高于友商，竞价激烈，项目难把控。</w:t>
            </w:r>
          </w:p>
          <w:p>
            <w:pPr>
              <w:numPr>
                <w:numId w:val="34"/>
              </w:numPr>
              <w:spacing w:before="120" w:after="120" w:line="288" w:lineRule="auto"/>
              <w:ind w:left="0"/>
              <w:jc w:val="left"/>
            </w:pPr>
            <w:r>
              <w:rPr>
                <w:rFonts w:eastAsia="等线" w:ascii="Arial" w:cs="Arial" w:hAnsi="Arial"/>
                <w:sz w:val="22"/>
              </w:rPr>
              <w:t>16个赶进度原因准入，其中有5个总包/分包/垫资商款未到位，7个招发标流程不明确，3个赢单不确定-</w:t>
            </w:r>
            <w:r>
              <w:rPr>
                <w:rFonts w:eastAsia="等线" w:ascii="Arial" w:cs="Arial" w:hAnsi="Arial"/>
                <w:b w:val="true"/>
                <w:i w:val="true"/>
                <w:color w:val="2ea121"/>
                <w:sz w:val="22"/>
                <w:u w:val="single"/>
              </w:rPr>
              <w:t>可以避免</w:t>
            </w:r>
          </w:p>
          <w:p>
            <w:pPr>
              <w:numPr>
                <w:numId w:val="35"/>
              </w:numPr>
              <w:spacing w:before="120" w:after="120" w:line="288" w:lineRule="auto"/>
              <w:ind w:left="453"/>
              <w:jc w:val="left"/>
            </w:pPr>
            <w:r>
              <w:rPr>
                <w:rFonts w:eastAsia="等线" w:ascii="Arial" w:cs="Arial" w:hAnsi="Arial"/>
                <w:sz w:val="22"/>
                <w:shd w:fill="fff67a"/>
              </w:rPr>
              <w:t>根因：准入 预测时存在赶数的行为，季度承诺准入时本身存在1800万赶进度项目，大部分放在8-9月。最终区域季度承诺兑现只有68%。</w:t>
            </w:r>
          </w:p>
          <w:p>
            <w:pPr>
              <w:spacing w:before="120" w:after="120" w:line="288" w:lineRule="auto"/>
              <w:ind w:left="0"/>
              <w:jc w:val="left"/>
            </w:pPr>
            <w:r>
              <w:rPr>
                <w:rFonts w:eastAsia="等线" w:ascii="Arial" w:cs="Arial" w:hAnsi="Arial"/>
                <w:sz w:val="22"/>
              </w:rPr>
              <w:t>举措：</w:t>
            </w:r>
          </w:p>
          <w:p>
            <w:pPr>
              <w:numPr>
                <w:numId w:val="36"/>
              </w:numPr>
              <w:spacing w:before="120" w:after="120" w:line="288" w:lineRule="auto"/>
              <w:ind w:left="0"/>
              <w:jc w:val="left"/>
            </w:pPr>
            <w:r>
              <w:rPr>
                <w:rFonts w:eastAsia="等线" w:ascii="Arial" w:cs="Arial" w:hAnsi="Arial"/>
                <w:sz w:val="22"/>
              </w:rPr>
              <w:t>标注的宣贯与共识</w:t>
            </w:r>
          </w:p>
          <w:p>
            <w:pPr>
              <w:numPr>
                <w:numId w:val="37"/>
              </w:numPr>
              <w:spacing w:before="120" w:after="120" w:line="288" w:lineRule="auto"/>
              <w:ind w:left="453"/>
              <w:jc w:val="left"/>
            </w:pPr>
            <w:r>
              <w:rPr>
                <w:rFonts w:eastAsia="等线" w:ascii="Arial" w:cs="Arial" w:hAnsi="Arial"/>
                <w:sz w:val="22"/>
              </w:rPr>
              <w:t>承诺预测准入标准全员共识</w:t>
            </w:r>
          </w:p>
          <w:p>
            <w:pPr>
              <w:numPr>
                <w:numId w:val="38"/>
              </w:numPr>
              <w:spacing w:before="120" w:after="120" w:line="288" w:lineRule="auto"/>
              <w:ind w:left="453"/>
              <w:jc w:val="left"/>
            </w:pPr>
            <w:r>
              <w:rPr>
                <w:rFonts w:eastAsia="等线" w:ascii="Arial" w:cs="Arial" w:hAnsi="Arial"/>
                <w:sz w:val="22"/>
              </w:rPr>
              <w:t>宣贯3T和N的标准全员共识</w:t>
            </w:r>
          </w:p>
          <w:p>
            <w:pPr>
              <w:numPr>
                <w:numId w:val="39"/>
              </w:numPr>
              <w:spacing w:before="120" w:after="120" w:line="288" w:lineRule="auto"/>
              <w:ind w:left="0"/>
              <w:jc w:val="left"/>
            </w:pPr>
            <w:r>
              <w:rPr>
                <w:rFonts w:eastAsia="等线" w:ascii="Arial" w:cs="Arial" w:hAnsi="Arial"/>
                <w:sz w:val="22"/>
              </w:rPr>
              <w:t>区域构建复盘管理机制，针对连续不准的项目/个人做复盘并持续做改善</w:t>
            </w:r>
          </w:p>
          <w:p>
            <w:pPr>
              <w:numPr>
                <w:numId w:val="40"/>
              </w:numPr>
              <w:spacing w:before="120" w:after="120" w:line="288" w:lineRule="auto"/>
              <w:ind w:left="0"/>
              <w:jc w:val="left"/>
            </w:pPr>
            <w:r>
              <w:rPr>
                <w:rFonts w:eastAsia="等线" w:ascii="Arial" w:cs="Arial" w:hAnsi="Arial"/>
                <w:sz w:val="22"/>
              </w:rPr>
              <w:t>遵循生意的客观情况，并且在承诺预测中反应项目真实情况</w:t>
            </w:r>
          </w:p>
        </w:tc>
      </w:tr>
    </w:tbl>
    <w:p>
      <w:pPr>
        <w:numPr>
          <w:numId w:val="41"/>
        </w:numPr>
        <w:spacing w:before="120" w:after="120" w:line="288" w:lineRule="auto"/>
        <w:ind w:left="0"/>
        <w:jc w:val="left"/>
      </w:pPr>
      <w:r>
        <w:rPr>
          <w:rFonts w:eastAsia="等线" w:ascii="Arial" w:cs="Arial" w:hAnsi="Arial"/>
          <w:sz w:val="22"/>
        </w:rPr>
        <w:t>山东区域下单时间 M-2做的不准的情况分析</w:t>
      </w:r>
    </w:p>
    <w:p>
      <w:pPr>
        <w:spacing w:before="120" w:after="120" w:line="288" w:lineRule="auto"/>
        <w:ind w:left="0"/>
        <w:jc w:val="left"/>
      </w:pPr>
      <w:r>
        <w:rPr>
          <w:rFonts w:eastAsia="等线" w:ascii="Arial" w:cs="Arial" w:hAnsi="Arial"/>
          <w:sz w:val="22"/>
        </w:rPr>
        <w:t>5.21取值8月项目，6.21取值9月项目，是否有关注做过盘点？--试点是7.19开始做，10月结果呈现，有关注但是没有严格去管理。</w:t>
      </w:r>
    </w:p>
    <w:p>
      <w:pPr>
        <w:spacing w:before="120" w:after="120" w:line="288" w:lineRule="auto"/>
        <w:ind w:left="0"/>
        <w:jc w:val="left"/>
      </w:pPr>
      <w:r>
        <w:rPr>
          <w:rFonts w:eastAsia="等线" w:ascii="Arial" w:cs="Arial" w:hAnsi="Arial"/>
          <w:color w:val="8f959e"/>
          <w:sz w:val="22"/>
        </w:rPr>
        <w:t>未监控暂无数据，取用立欢</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标准：</w:t>
            </w:r>
          </w:p>
          <w:p>
            <w:pPr>
              <w:spacing w:before="120" w:after="120" w:line="288" w:lineRule="auto"/>
              <w:ind w:left="0"/>
              <w:jc w:val="left"/>
            </w:pPr>
            <w:r>
              <w:rPr>
                <w:rFonts w:eastAsia="等线" w:ascii="Arial" w:cs="Arial" w:hAnsi="Arial"/>
                <w:sz w:val="22"/>
              </w:rPr>
              <w:t>正规招投标项目</w:t>
            </w:r>
            <w:r>
              <w:rPr>
                <w:rFonts w:eastAsia="等线" w:ascii="Arial" w:cs="Arial" w:hAnsi="Arial"/>
                <w:color w:val="d83931"/>
                <w:sz w:val="22"/>
              </w:rPr>
              <w:t>已经中标</w:t>
            </w:r>
            <w:r>
              <w:rPr>
                <w:rFonts w:eastAsia="等线" w:ascii="Arial" w:cs="Arial" w:hAnsi="Arial"/>
                <w:sz w:val="22"/>
              </w:rPr>
              <w:t>，或</w:t>
            </w:r>
            <w:r>
              <w:rPr>
                <w:rFonts w:eastAsia="等线" w:ascii="Arial" w:cs="Arial" w:hAnsi="Arial"/>
                <w:color w:val="d83931"/>
                <w:sz w:val="22"/>
              </w:rPr>
              <w:t>ICT投融资/三头弱电项目必须是投资商/弱电商与我司签订合同</w:t>
            </w:r>
            <w:r>
              <w:rPr>
                <w:rFonts w:eastAsia="等线" w:ascii="Arial" w:cs="Arial" w:hAnsi="Arial"/>
                <w:sz w:val="22"/>
              </w:rPr>
              <w:t xml:space="preserve">，且计划在这个月要货。 </w:t>
            </w:r>
          </w:p>
          <w:p>
            <w:pPr>
              <w:spacing w:before="120" w:after="120" w:line="288" w:lineRule="auto"/>
              <w:ind w:left="0"/>
              <w:jc w:val="left"/>
            </w:pPr>
            <w:r>
              <w:rPr>
                <w:rFonts w:eastAsia="等线" w:ascii="Arial" w:cs="Arial" w:hAnsi="Arial"/>
                <w:sz w:val="22"/>
              </w:rPr>
              <w:t>或，正规招投标项目</w:t>
            </w:r>
            <w:r>
              <w:rPr>
                <w:rFonts w:eastAsia="等线" w:ascii="Arial" w:cs="Arial" w:hAnsi="Arial"/>
                <w:color w:val="d83931"/>
                <w:sz w:val="22"/>
              </w:rPr>
              <w:t>已经递交招采部门</w:t>
            </w:r>
            <w:r>
              <w:rPr>
                <w:rFonts w:eastAsia="等线" w:ascii="Arial" w:cs="Arial" w:hAnsi="Arial"/>
                <w:sz w:val="22"/>
              </w:rPr>
              <w:t>，开始在走流程，且预估上个月15号之前能中标，且在这个月要货的项目。</w:t>
            </w:r>
          </w:p>
          <w:p>
            <w:pPr>
              <w:spacing w:before="120" w:after="120" w:line="288" w:lineRule="auto"/>
              <w:ind w:left="0"/>
              <w:jc w:val="left"/>
            </w:pPr>
            <w:r>
              <w:rPr>
                <w:rFonts w:eastAsia="等线" w:ascii="Arial" w:cs="Arial" w:hAnsi="Arial"/>
                <w:sz w:val="22"/>
              </w:rPr>
              <w:t xml:space="preserve"> 或，</w:t>
            </w:r>
            <w:r>
              <w:rPr>
                <w:rFonts w:eastAsia="等线" w:ascii="Arial" w:cs="Arial" w:hAnsi="Arial"/>
                <w:color w:val="d83931"/>
                <w:sz w:val="22"/>
              </w:rPr>
              <w:t>ICT投融资项目投资方已经明确/中标，三头弱电项目必须是弱电商已经中标</w:t>
            </w:r>
            <w:r>
              <w:rPr>
                <w:rFonts w:eastAsia="等线" w:ascii="Arial" w:cs="Arial" w:hAnsi="Arial"/>
                <w:sz w:val="22"/>
              </w:rPr>
              <w:t>，在上个月15号之前能签订合同，且在这个月要货的项目。</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根因：M 因为是7月19日才开始试点，数据目前体现不出来，待10月数据做复盘</w:t>
            </w:r>
          </w:p>
          <w:p>
            <w:pPr>
              <w:spacing w:before="120" w:after="120" w:line="288" w:lineRule="auto"/>
              <w:ind w:left="0"/>
              <w:jc w:val="left"/>
            </w:pPr>
            <w:r>
              <w:rPr>
                <w:rFonts w:eastAsia="等线" w:ascii="Arial" w:cs="Arial" w:hAnsi="Arial"/>
                <w:sz w:val="22"/>
              </w:rPr>
              <w:t>举措：制定M-2预测管理机制及标准并推动落地执行</w:t>
            </w:r>
          </w:p>
        </w:tc>
      </w:tr>
    </w:tbl>
    <w:p>
      <w:pPr>
        <w:numPr>
          <w:numId w:val="42"/>
        </w:numPr>
        <w:spacing w:before="120" w:after="120" w:line="288" w:lineRule="auto"/>
        <w:ind w:left="0"/>
        <w:jc w:val="left"/>
      </w:pPr>
      <w:r>
        <w:rPr>
          <w:rFonts w:eastAsia="等线" w:ascii="Arial" w:cs="Arial" w:hAnsi="Arial"/>
          <w:sz w:val="22"/>
        </w:rPr>
        <w:t>对于上海，山东下单时间准确率未达标项目数据进行了统计与分析，根因与下一步改善建议如下：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195"/>
        <w:gridCol w:w="1410"/>
        <w:gridCol w:w="1740"/>
        <w:gridCol w:w="1920"/>
      </w:tblGrid>
      <w:tr>
        <w:tc>
          <w:tcPr>
            <w:tcW w:w="31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根因</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举措</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目标</w:t>
            </w:r>
          </w:p>
        </w:tc>
        <w:tc>
          <w:tcPr>
            <w:tcW w:w="19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下一步计划</w:t>
            </w:r>
          </w:p>
        </w:tc>
      </w:tr>
      <w:tr>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【业务层根因】</w:t>
            </w:r>
          </w:p>
          <w:p>
            <w:pPr>
              <w:spacing w:before="120" w:after="120" w:line="288" w:lineRule="auto"/>
              <w:ind w:left="0"/>
              <w:jc w:val="left"/>
            </w:pPr>
            <w:r>
              <w:rPr>
                <w:rFonts w:eastAsia="等线" w:ascii="Arial" w:cs="Arial" w:hAnsi="Arial"/>
                <w:sz w:val="22"/>
              </w:rPr>
              <w:t>未预测下单</w:t>
            </w:r>
          </w:p>
          <w:p>
            <w:pPr>
              <w:numPr>
                <w:numId w:val="43"/>
              </w:numPr>
              <w:spacing w:before="120" w:after="120" w:line="288" w:lineRule="auto"/>
              <w:ind w:left="0"/>
              <w:jc w:val="left"/>
            </w:pPr>
            <w:r>
              <w:rPr>
                <w:rFonts w:eastAsia="等线" w:ascii="Arial" w:cs="Arial" w:hAnsi="Arial"/>
                <w:sz w:val="22"/>
              </w:rPr>
              <w:t>企业邀标-采购模式灵活，项目生命周期短；框采项目可以要货计划不明确，难以预测；</w:t>
            </w:r>
          </w:p>
          <w:p>
            <w:pPr>
              <w:numPr>
                <w:numId w:val="44"/>
              </w:numPr>
              <w:spacing w:before="120" w:after="120" w:line="288" w:lineRule="auto"/>
              <w:ind w:left="0"/>
              <w:jc w:val="left"/>
            </w:pPr>
            <w:r>
              <w:rPr>
                <w:rFonts w:eastAsia="等线" w:ascii="Arial" w:cs="Arial" w:hAnsi="Arial"/>
                <w:sz w:val="22"/>
              </w:rPr>
              <w:t>非优势项目-竞争激烈，非优势项目把控力弱，难以把控赢单</w:t>
            </w:r>
          </w:p>
          <w:p>
            <w:pPr>
              <w:spacing w:before="120" w:after="120" w:line="288" w:lineRule="auto"/>
              <w:ind w:left="0"/>
              <w:jc w:val="left"/>
            </w:pPr>
            <w:r>
              <w:rPr>
                <w:rFonts w:eastAsia="等线" w:ascii="Arial" w:cs="Arial" w:hAnsi="Arial"/>
                <w:sz w:val="22"/>
              </w:rPr>
              <w:t>预测未下单</w:t>
            </w:r>
          </w:p>
          <w:p>
            <w:pPr>
              <w:numPr>
                <w:numId w:val="45"/>
              </w:numPr>
              <w:spacing w:before="120" w:after="120" w:line="288" w:lineRule="auto"/>
              <w:ind w:left="0"/>
              <w:jc w:val="left"/>
            </w:pPr>
            <w:r>
              <w:rPr>
                <w:rFonts w:eastAsia="等线" w:ascii="Arial" w:cs="Arial" w:hAnsi="Arial"/>
                <w:sz w:val="22"/>
              </w:rPr>
              <w:t>医疗反腐入驻时间不明确，难以预测；</w:t>
            </w:r>
          </w:p>
          <w:p>
            <w:pPr>
              <w:numPr>
                <w:numId w:val="46"/>
              </w:numPr>
              <w:spacing w:before="120" w:after="120" w:line="288" w:lineRule="auto"/>
              <w:ind w:left="0"/>
              <w:jc w:val="left"/>
            </w:pPr>
            <w:r>
              <w:rPr>
                <w:rFonts w:eastAsia="等线" w:ascii="Arial" w:cs="Arial" w:hAnsi="Arial"/>
                <w:sz w:val="22"/>
              </w:rPr>
              <w:t>企业邀标-采购模式灵活，项目生命周期短；框采项目可以要货计划不明确，预测不准确；</w:t>
            </w:r>
          </w:p>
          <w:p>
            <w:pPr>
              <w:numPr>
                <w:numId w:val="47"/>
              </w:numPr>
              <w:spacing w:before="120" w:after="120" w:line="288" w:lineRule="auto"/>
              <w:ind w:left="0"/>
              <w:jc w:val="left"/>
            </w:pPr>
            <w:r>
              <w:rPr>
                <w:rFonts w:eastAsia="等线" w:ascii="Arial" w:cs="Arial" w:hAnsi="Arial"/>
                <w:sz w:val="22"/>
              </w:rPr>
              <w:t>非优势项目-竞争激烈，非优势项目把控力弱，不敢准入当月承诺，准入下个月预测，赢单后客户着急要货提前下单；非优势项目客户支点涉及组织架构调整问题丢单及竞价原因丢单</w:t>
            </w:r>
          </w:p>
          <w:p>
            <w:pPr>
              <w:spacing w:before="120" w:after="120" w:line="288" w:lineRule="auto"/>
              <w:ind w:left="0"/>
              <w:jc w:val="left"/>
            </w:pPr>
            <w:r>
              <w:rPr>
                <w:rFonts w:eastAsia="等线" w:ascii="Arial" w:cs="Arial" w:hAnsi="Arial"/>
                <w:b w:val="true"/>
                <w:sz w:val="22"/>
              </w:rPr>
              <w:t>【管理层根因】</w:t>
            </w:r>
          </w:p>
          <w:p>
            <w:pPr>
              <w:spacing w:before="120" w:after="120" w:line="288" w:lineRule="auto"/>
              <w:ind w:left="0"/>
              <w:jc w:val="left"/>
            </w:pPr>
            <w:r>
              <w:rPr>
                <w:rFonts w:eastAsia="等线" w:ascii="Arial" w:cs="Arial" w:hAnsi="Arial"/>
                <w:sz w:val="22"/>
              </w:rPr>
              <w:t>未预测下单</w:t>
            </w:r>
          </w:p>
          <w:p>
            <w:pPr>
              <w:numPr>
                <w:numId w:val="48"/>
              </w:numPr>
              <w:spacing w:before="120" w:after="120" w:line="288" w:lineRule="auto"/>
              <w:ind w:left="0"/>
              <w:jc w:val="left"/>
            </w:pPr>
            <w:r>
              <w:rPr>
                <w:rFonts w:eastAsia="等线" w:ascii="Arial" w:cs="Arial" w:hAnsi="Arial"/>
                <w:sz w:val="22"/>
              </w:rPr>
              <w:t>新建-知道项目创建不及时；</w:t>
            </w:r>
          </w:p>
          <w:p>
            <w:pPr>
              <w:numPr>
                <w:numId w:val="49"/>
              </w:numPr>
              <w:spacing w:before="120" w:after="120" w:line="288" w:lineRule="auto"/>
              <w:ind w:left="0"/>
              <w:jc w:val="left"/>
            </w:pPr>
            <w:r>
              <w:rPr>
                <w:rFonts w:eastAsia="等线" w:ascii="Arial" w:cs="Arial" w:hAnsi="Arial"/>
                <w:sz w:val="22"/>
              </w:rPr>
              <w:t>赶进度-季度承诺100%兑现，原预测项目无法兑现换项目补足金额</w:t>
            </w:r>
          </w:p>
          <w:p>
            <w:pPr>
              <w:spacing w:before="120" w:after="120" w:line="288" w:lineRule="auto"/>
              <w:ind w:left="0"/>
              <w:jc w:val="left"/>
            </w:pPr>
            <w:r>
              <w:rPr>
                <w:rFonts w:eastAsia="等线" w:ascii="Arial" w:cs="Arial" w:hAnsi="Arial"/>
                <w:sz w:val="22"/>
              </w:rPr>
              <w:t>预测未下单</w:t>
            </w:r>
          </w:p>
          <w:p>
            <w:pPr>
              <w:numPr>
                <w:numId w:val="50"/>
              </w:numPr>
              <w:spacing w:before="120" w:after="120" w:line="288" w:lineRule="auto"/>
              <w:ind w:left="0"/>
              <w:jc w:val="left"/>
            </w:pPr>
            <w:r>
              <w:rPr>
                <w:rFonts w:eastAsia="等线" w:ascii="Arial" w:cs="Arial" w:hAnsi="Arial"/>
                <w:sz w:val="22"/>
              </w:rPr>
              <w:t>准入 预测时存在赶数的行为</w:t>
            </w:r>
          </w:p>
          <w:p>
            <w:pPr>
              <w:numPr>
                <w:numId w:val="51"/>
              </w:numPr>
              <w:spacing w:before="120" w:after="120" w:line="288" w:lineRule="auto"/>
              <w:ind w:left="0"/>
              <w:jc w:val="left"/>
            </w:pPr>
            <w:r>
              <w:rPr>
                <w:rFonts w:eastAsia="等线" w:ascii="Arial" w:cs="Arial" w:hAnsi="Arial"/>
                <w:sz w:val="22"/>
              </w:rPr>
              <w:t>销售接触不到客户/没有与客户确认准确的要货时间</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w:t>
            </w:r>
          </w:p>
          <w:p>
            <w:pPr>
              <w:numPr>
                <w:numId w:val="52"/>
              </w:numPr>
              <w:spacing w:before="120" w:after="120" w:line="288" w:lineRule="auto"/>
              <w:ind w:left="0"/>
              <w:jc w:val="left"/>
            </w:pPr>
            <w:r>
              <w:rPr>
                <w:rFonts w:eastAsia="等线" w:ascii="Arial" w:cs="Arial" w:hAnsi="Arial"/>
                <w:sz w:val="22"/>
              </w:rPr>
              <w:t xml:space="preserve"> 做承诺预测盘点时针对已中标项目要求销售与客户对齐要货计划并及时调整预测</w:t>
            </w:r>
          </w:p>
          <w:p>
            <w:pPr>
              <w:numPr>
                <w:numId w:val="53"/>
              </w:numPr>
              <w:spacing w:before="120" w:after="120" w:line="288" w:lineRule="auto"/>
              <w:ind w:left="0"/>
              <w:jc w:val="left"/>
            </w:pPr>
            <w:r>
              <w:rPr>
                <w:rFonts w:eastAsia="等线" w:ascii="Arial" w:cs="Arial" w:hAnsi="Arial"/>
                <w:sz w:val="22"/>
              </w:rPr>
              <w:t>并严格落地执行未承诺和未预测下单的审批拦截流程</w:t>
            </w:r>
          </w:p>
          <w:p>
            <w:pPr>
              <w:numPr>
                <w:numId w:val="54"/>
              </w:numPr>
              <w:spacing w:before="120" w:after="120" w:line="288" w:lineRule="auto"/>
              <w:ind w:left="0"/>
              <w:jc w:val="left"/>
            </w:pPr>
            <w:r>
              <w:rPr>
                <w:rFonts w:eastAsia="等线" w:ascii="Arial" w:cs="Arial" w:hAnsi="Arial"/>
                <w:sz w:val="22"/>
              </w:rPr>
              <w:t>增补隔两个月预测的盘点及管理流程</w:t>
            </w:r>
          </w:p>
          <w:p>
            <w:pPr>
              <w:spacing w:before="120" w:after="120" w:line="288" w:lineRule="auto"/>
              <w:ind w:left="0"/>
              <w:jc w:val="left"/>
            </w:pPr>
            <w:r>
              <w:rPr>
                <w:rFonts w:eastAsia="等线" w:ascii="Arial" w:cs="Arial" w:hAnsi="Arial"/>
                <w:b w:val="true"/>
                <w:sz w:val="22"/>
              </w:rPr>
              <w:t>【机制】</w:t>
            </w:r>
          </w:p>
          <w:p>
            <w:pPr>
              <w:numPr>
                <w:numId w:val="55"/>
              </w:numPr>
              <w:spacing w:before="120" w:after="120" w:line="288" w:lineRule="auto"/>
              <w:ind w:left="0"/>
              <w:jc w:val="left"/>
            </w:pPr>
            <w:r>
              <w:rPr>
                <w:rFonts w:eastAsia="等线" w:ascii="Arial" w:cs="Arial" w:hAnsi="Arial"/>
                <w:sz w:val="22"/>
              </w:rPr>
              <w:t>企业类框采项目与客户构建要货管理机制</w:t>
            </w:r>
          </w:p>
          <w:p>
            <w:pPr>
              <w:numPr>
                <w:numId w:val="56"/>
              </w:numPr>
              <w:spacing w:before="120" w:after="120" w:line="288" w:lineRule="auto"/>
              <w:ind w:left="0"/>
              <w:jc w:val="left"/>
            </w:pPr>
            <w:r>
              <w:rPr>
                <w:rFonts w:eastAsia="等线" w:ascii="Arial" w:cs="Arial" w:hAnsi="Arial"/>
                <w:sz w:val="22"/>
              </w:rPr>
              <w:t>AIGC项目准入标准优化：完成合同签署的同时，需要明确总包资金是否100%到位后准入</w:t>
            </w:r>
          </w:p>
          <w:p>
            <w:pPr>
              <w:numPr>
                <w:numId w:val="57"/>
              </w:numPr>
              <w:spacing w:before="120" w:after="120" w:line="288" w:lineRule="auto"/>
              <w:ind w:left="0"/>
              <w:jc w:val="left"/>
            </w:pPr>
            <w:r>
              <w:rPr>
                <w:rFonts w:eastAsia="等线" w:ascii="Arial" w:cs="Arial" w:hAnsi="Arial"/>
                <w:sz w:val="22"/>
              </w:rPr>
              <w:t>区域构建复盘管理机制，针对连续不准的项目/个人做复盘并持续做改善</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定量:</w:t>
            </w:r>
          </w:p>
          <w:p>
            <w:pPr>
              <w:spacing w:before="120" w:after="120" w:line="288" w:lineRule="auto"/>
              <w:ind w:left="0"/>
              <w:jc w:val="left"/>
            </w:pPr>
            <w:r>
              <w:rPr>
                <w:rFonts w:eastAsia="等线" w:ascii="Arial" w:cs="Arial" w:hAnsi="Arial"/>
                <w:b w:val="true"/>
                <w:sz w:val="22"/>
              </w:rPr>
              <w:t>M-0</w:t>
            </w:r>
            <w:r>
              <w:rPr>
                <w:rFonts w:eastAsia="等线" w:ascii="Arial" w:cs="Arial" w:hAnsi="Arial"/>
                <w:sz w:val="22"/>
              </w:rPr>
              <w:t>：95%（承诺兑现100%，未承诺下单占比4%）   依据：按照当月承诺严格管理会有4%左右的未承诺下单，极限值</w:t>
            </w:r>
          </w:p>
          <w:p>
            <w:pPr>
              <w:spacing w:before="120" w:after="120" w:line="288" w:lineRule="auto"/>
              <w:ind w:left="0"/>
              <w:jc w:val="left"/>
            </w:pPr>
            <w:r>
              <w:rPr>
                <w:rFonts w:eastAsia="等线" w:ascii="Arial" w:cs="Arial" w:hAnsi="Arial"/>
                <w:b w:val="true"/>
                <w:sz w:val="22"/>
              </w:rPr>
              <w:t>M-1</w:t>
            </w:r>
            <w:r>
              <w:rPr>
                <w:rFonts w:eastAsia="等线" w:ascii="Arial" w:cs="Arial" w:hAnsi="Arial"/>
                <w:sz w:val="22"/>
              </w:rPr>
              <w:t>：70%（预测兑现70%，未预测下单占比30%）   依据：今年标杆三个区域的水平（河南、川藏及福建、服务系统部）累计为预测兑现70%，未预测下单子占比30%</w:t>
            </w:r>
          </w:p>
          <w:p>
            <w:pPr>
              <w:spacing w:before="120" w:after="120" w:line="288" w:lineRule="auto"/>
              <w:ind w:left="0"/>
              <w:jc w:val="left"/>
            </w:pPr>
            <w:r>
              <w:rPr>
                <w:rFonts w:eastAsia="等线" w:ascii="Arial" w:cs="Arial" w:hAnsi="Arial"/>
                <w:b w:val="true"/>
                <w:sz w:val="22"/>
              </w:rPr>
              <w:t>M-2</w:t>
            </w:r>
            <w:r>
              <w:rPr>
                <w:rFonts w:eastAsia="等线" w:ascii="Arial" w:cs="Arial" w:hAnsi="Arial"/>
                <w:sz w:val="22"/>
              </w:rPr>
              <w:t>:  60%  (预测兑现60%，未预测下单占比40%）   依据：拍的，挑战60%。去年累计预测兑现21%，未预测下单占比77%</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定性（可选）：</w:t>
            </w:r>
          </w:p>
          <w:p>
            <w:pPr>
              <w:spacing w:before="120" w:after="120" w:line="288" w:lineRule="auto"/>
              <w:ind w:left="0"/>
              <w:jc w:val="left"/>
            </w:pPr>
            <w:r>
              <w:rPr>
                <w:rFonts w:eastAsia="等线" w:ascii="Arial" w:cs="Arial" w:hAnsi="Arial"/>
                <w:sz w:val="22"/>
              </w:rPr>
              <w:t>在原来当月承诺和隔月预测的管理机制上增补隔两个月的管理标注及机制，全员共识并下发执行</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w:t>
            </w:r>
            <w:r>
              <w:rPr>
                <w:rFonts w:eastAsia="等线" w:ascii="Arial" w:cs="Arial" w:hAnsi="Arial"/>
                <w:sz w:val="22"/>
              </w:rPr>
              <w:t>标注的宣贯与共识</w:t>
            </w:r>
          </w:p>
          <w:p>
            <w:pPr>
              <w:numPr>
                <w:numId w:val="58"/>
              </w:numPr>
              <w:spacing w:before="120" w:after="120" w:line="288" w:lineRule="auto"/>
              <w:ind w:left="0"/>
              <w:jc w:val="left"/>
            </w:pPr>
            <w:r>
              <w:rPr>
                <w:rFonts w:eastAsia="等线" w:ascii="Arial" w:cs="Arial" w:hAnsi="Arial"/>
                <w:sz w:val="22"/>
              </w:rPr>
              <w:t>1+1+1承诺预测准入标准全员学习共识（含AIGC准入预测标准、补充预测管控要求、目标及机制）</w:t>
            </w:r>
          </w:p>
          <w:p>
            <w:pPr>
              <w:numPr>
                <w:numId w:val="59"/>
              </w:numPr>
              <w:spacing w:before="120" w:after="120" w:line="288" w:lineRule="auto"/>
              <w:ind w:left="0"/>
              <w:jc w:val="left"/>
            </w:pPr>
            <w:r>
              <w:rPr>
                <w:rFonts w:eastAsia="等线" w:ascii="Arial" w:cs="Arial" w:hAnsi="Arial"/>
                <w:sz w:val="22"/>
              </w:rPr>
              <w:t>宣贯3T和N的标准全员学习共识</w:t>
            </w:r>
          </w:p>
          <w:p>
            <w:pPr>
              <w:spacing w:before="120" w:after="120" w:line="288" w:lineRule="auto"/>
              <w:ind w:left="0"/>
              <w:jc w:val="left"/>
            </w:pPr>
            <w:r>
              <w:rPr>
                <w:rFonts w:eastAsia="等线" w:ascii="Arial" w:cs="Arial" w:hAnsi="Arial"/>
                <w:sz w:val="22"/>
              </w:rPr>
              <w:t>3）滚动三个月承诺预测遵循生意的客观情况，并且在承诺预测中反应项目真实情况</w:t>
            </w:r>
          </w:p>
          <w:p>
            <w:pPr>
              <w:numPr>
                <w:numId w:val="60"/>
              </w:numPr>
              <w:spacing w:before="120" w:after="120" w:line="288" w:lineRule="auto"/>
              <w:ind w:left="0"/>
              <w:jc w:val="left"/>
            </w:pPr>
            <w:r>
              <w:rPr>
                <w:rFonts w:eastAsia="等线" w:ascii="Arial" w:cs="Arial" w:hAnsi="Arial"/>
                <w:sz w:val="22"/>
              </w:rPr>
              <w:t>对于不符合标准的项目，销售、运营BP及区域经理联合共识要货依据（多方验证）后严格管理准入</w:t>
            </w:r>
          </w:p>
          <w:p>
            <w:pPr>
              <w:numPr>
                <w:numId w:val="61"/>
              </w:numPr>
              <w:spacing w:before="120" w:after="120" w:line="288" w:lineRule="auto"/>
              <w:ind w:left="0"/>
              <w:jc w:val="left"/>
            </w:pPr>
            <w:r>
              <w:rPr>
                <w:rFonts w:eastAsia="等线" w:ascii="Arial" w:cs="Arial" w:hAnsi="Arial"/>
                <w:sz w:val="22"/>
              </w:rPr>
              <w:t>对于未预测和未承诺项目严格执行区域及BP层拦截和审批流程，对于不着急的项目准入下月预测后下单</w:t>
            </w:r>
          </w:p>
          <w:p>
            <w:pPr>
              <w:spacing w:before="120" w:after="120" w:line="288" w:lineRule="auto"/>
              <w:ind w:left="0"/>
              <w:jc w:val="left"/>
            </w:pPr>
            <w:r>
              <w:rPr>
                <w:rFonts w:eastAsia="等线" w:ascii="Arial" w:cs="Arial" w:hAnsi="Arial"/>
                <w:sz w:val="22"/>
              </w:rPr>
              <w:t>4）企业类框采项目按照客户需求每个月创建流水分批，并在M-0、M-1、M-2取值前与客户共识机制并对齐要货计划与清单、管理客户要货需求</w:t>
            </w:r>
          </w:p>
          <w:p>
            <w:pPr>
              <w:spacing w:before="120" w:after="120" w:line="288" w:lineRule="auto"/>
              <w:ind w:left="0"/>
              <w:jc w:val="left"/>
            </w:pPr>
          </w:p>
        </w:tc>
      </w:tr>
    </w:tbl>
    <w:p>
      <w:pPr>
        <w:numPr>
          <w:numId w:val="62"/>
        </w:numPr>
        <w:spacing w:before="120" w:after="120" w:line="288" w:lineRule="auto"/>
        <w:ind w:left="0"/>
        <w:jc w:val="left"/>
      </w:pPr>
      <w:r>
        <w:rPr>
          <w:rFonts w:eastAsia="等线" w:ascii="Arial" w:cs="Arial" w:hAnsi="Arial"/>
          <w:sz w:val="22"/>
        </w:rPr>
        <w:t>山东区域7-9月“要货时间”  做的不准的项目清单</w:t>
      </w:r>
    </w:p>
    <w:p>
      <w:pPr>
        <w:spacing w:before="120" w:after="120" w:line="288" w:lineRule="auto"/>
        <w:ind w:left="0"/>
      </w:pPr>
      <w:r>
        <w:object>
          <v:shape id="_x0000_i1033" style="width:414pt;height:197pt;mso-width-percent:0;mso-height-percent:0;mso-width-percent:0;mso-height-percent:0" type="#_x0000_t75" o:ole="">
            <v:imagedata r:id="rId35" o:title=""/>
          </v:shape>
          <o:OLEObject DrawAspect="Icon" ObjectID="_1718471227" ProgID="Excel.Sheet.12" ShapeID="_x0000_i1033" Type="Embed" r:id="rId3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原因分析：</w:t>
      </w:r>
    </w:p>
    <w:p>
      <w:pPr>
        <w:spacing w:before="120" w:after="120" w:line="288" w:lineRule="auto"/>
        <w:ind w:left="0"/>
      </w:pPr>
      <w:r>
        <w:object>
          <v:shape id="_x0000_i1034" style="width:414pt;height:197pt;mso-width-percent:0;mso-height-percent:0;mso-width-percent:0;mso-height-percent:0" type="#_x0000_t75" o:ole="">
            <v:imagedata r:id="rId37" o:title=""/>
          </v:shape>
          <o:OLEObject DrawAspect="Icon" ObjectID="_1718471228" ProgID="Excel.Sheet.12" ShapeID="_x0000_i1034" Type="Embed" r:id="rId36"/>
        </w:object>
      </w:r>
    </w:p>
    <w:p>
      <w:pPr>
        <w:spacing w:after="120"/>
        <w:ind w:left="0"/>
        <w:jc w:val="center"/>
      </w:pPr>
      <w:r>
        <w:rPr>
          <w:rFonts w:eastAsia="等线" w:ascii="Arial" w:cs="Arial" w:hAnsi="Arial"/>
          <w:b w:val="true"/>
          <w:sz w:val="22"/>
        </w:rPr>
        <w:t>点击图片可查看完整电子表格</w:t>
      </w:r>
    </w:p>
    <w:p>
      <w:pPr>
        <w:numPr>
          <w:numId w:val="63"/>
        </w:numPr>
        <w:spacing w:before="120" w:after="120" w:line="288" w:lineRule="auto"/>
        <w:ind w:left="0"/>
        <w:jc w:val="left"/>
      </w:pPr>
      <w:r>
        <w:rPr>
          <w:rFonts w:eastAsia="等线" w:ascii="Arial" w:cs="Arial" w:hAnsi="Arial"/>
          <w:b w:val="true"/>
          <w:sz w:val="22"/>
        </w:rPr>
        <w:t>原因1-项目分批下单（4个，占比27%）：</w:t>
      </w:r>
      <w:r>
        <w:rPr>
          <w:rFonts w:eastAsia="等线" w:ascii="Arial" w:cs="Arial" w:hAnsi="Arial"/>
          <w:sz w:val="22"/>
        </w:rPr>
        <w:t>对于分批下单项目，仅通过CRM分批承诺预测板块录入下单时间及要货时间，未使用分批备货功能录入分批清单及填写要货时间。</w:t>
      </w:r>
    </w:p>
    <w:p>
      <w:pPr>
        <w:spacing w:before="120" w:after="120" w:line="288" w:lineRule="auto"/>
        <w:ind w:left="0"/>
        <w:jc w:val="center"/>
      </w:pPr>
      <w:r>
        <w:drawing>
          <wp:inline distT="0" distR="0" distB="0" distL="0">
            <wp:extent cx="5257800" cy="245745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38"/>
                    <a:stretch>
                      <a:fillRect/>
                    </a:stretch>
                  </pic:blipFill>
                  <pic:spPr>
                    <a:xfrm>
                      <a:off x="0" y="0"/>
                      <a:ext cx="5257800" cy="2457450"/>
                    </a:xfrm>
                    <a:prstGeom prst="rect">
                      <a:avLst/>
                    </a:prstGeom>
                  </pic:spPr>
                </pic:pic>
              </a:graphicData>
            </a:graphic>
          </wp:inline>
        </w:drawing>
      </w:r>
    </w:p>
    <w:p>
      <w:pPr>
        <w:numPr>
          <w:numId w:val="64"/>
        </w:numPr>
        <w:spacing w:before="120" w:after="120" w:line="288" w:lineRule="auto"/>
        <w:ind w:left="0"/>
        <w:jc w:val="left"/>
      </w:pPr>
      <w:r>
        <w:rPr>
          <w:rFonts w:eastAsia="等线" w:ascii="Arial" w:cs="Arial" w:hAnsi="Arial"/>
          <w:sz w:val="22"/>
        </w:rPr>
        <w:t>改善措施——</w:t>
      </w:r>
    </w:p>
    <w:p>
      <w:pPr>
        <w:spacing w:before="120" w:after="120" w:line="288" w:lineRule="auto"/>
        <w:ind w:left="0"/>
        <w:jc w:val="left"/>
      </w:pPr>
      <w:r>
        <w:rPr>
          <w:rFonts w:eastAsia="等线" w:ascii="Arial" w:cs="Arial" w:hAnsi="Arial"/>
          <w:sz w:val="22"/>
        </w:rPr>
        <w:t>短期：针对分批下单项目，在CRM中通过分批备货功能，实现不同批次的清单。（CRM已有功能）</w:t>
      </w:r>
    </w:p>
    <w:p>
      <w:pPr>
        <w:spacing w:before="120" w:after="120" w:line="288" w:lineRule="auto"/>
        <w:ind w:left="0"/>
        <w:jc w:val="center"/>
      </w:pPr>
      <w:r>
        <w:drawing>
          <wp:inline distT="0" distR="0" distB="0" distL="0">
            <wp:extent cx="5257800" cy="245745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39"/>
                    <a:stretch>
                      <a:fillRect/>
                    </a:stretch>
                  </pic:blipFill>
                  <pic:spPr>
                    <a:xfrm>
                      <a:off x="0" y="0"/>
                      <a:ext cx="5257800" cy="24574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长期：提升分批备货功能的易用性，且与销管分批承诺预测作关联。（待开发）</w:t>
      </w:r>
    </w:p>
    <w:p>
      <w:pPr>
        <w:numPr>
          <w:numId w:val="65"/>
        </w:numPr>
        <w:spacing w:before="120" w:after="120" w:line="288" w:lineRule="auto"/>
        <w:ind w:left="0"/>
        <w:jc w:val="left"/>
      </w:pPr>
      <w:r>
        <w:rPr>
          <w:rFonts w:eastAsia="等线" w:ascii="Arial" w:cs="Arial" w:hAnsi="Arial"/>
          <w:b w:val="true"/>
          <w:sz w:val="22"/>
        </w:rPr>
        <w:t>原因2-末级渠道和客户合同未完成签署导致约货（3个，占比20%）</w:t>
      </w:r>
      <w:r>
        <w:rPr>
          <w:rFonts w:eastAsia="等线" w:ascii="Arial" w:cs="Arial" w:hAnsi="Arial"/>
          <w:sz w:val="22"/>
        </w:rPr>
        <w:t>：项目下单时，由于末级渠道和最终客户未完成最终合同的签署，渠道担心履约风险，将货期约在2个月后。</w:t>
      </w:r>
    </w:p>
    <w:p>
      <w:pPr>
        <w:numPr>
          <w:numId w:val="66"/>
        </w:numPr>
        <w:spacing w:before="120" w:after="120" w:line="288" w:lineRule="auto"/>
        <w:ind w:left="0"/>
        <w:jc w:val="left"/>
      </w:pPr>
      <w:r>
        <w:rPr>
          <w:rFonts w:eastAsia="等线" w:ascii="Arial" w:cs="Arial" w:hAnsi="Arial"/>
          <w:sz w:val="22"/>
        </w:rPr>
        <w:t>改善措施——待确定</w:t>
      </w:r>
    </w:p>
    <w:p>
      <w:pPr>
        <w:spacing w:before="120" w:after="120" w:line="288" w:lineRule="auto"/>
        <w:ind w:left="0"/>
        <w:jc w:val="left"/>
      </w:pPr>
    </w:p>
    <w:p>
      <w:pPr>
        <w:numPr>
          <w:numId w:val="67"/>
        </w:numPr>
        <w:spacing w:before="120" w:after="120" w:line="288" w:lineRule="auto"/>
        <w:ind w:left="0"/>
        <w:jc w:val="left"/>
      </w:pPr>
      <w:r>
        <w:rPr>
          <w:rFonts w:eastAsia="等线" w:ascii="Arial" w:cs="Arial" w:hAnsi="Arial"/>
          <w:b w:val="true"/>
          <w:sz w:val="22"/>
        </w:rPr>
        <w:t>原因3-渠道资金问题（2个，占比13%）</w:t>
      </w:r>
      <w:r>
        <w:rPr>
          <w:rFonts w:eastAsia="等线" w:ascii="Arial" w:cs="Arial" w:hAnsi="Arial"/>
          <w:sz w:val="22"/>
        </w:rPr>
        <w:t>：项目下单时，由于渠道资金紧缺，担心产品齐套后无法支付尾款，将货期约在2个月后。</w:t>
      </w:r>
    </w:p>
    <w:p>
      <w:pPr>
        <w:numPr>
          <w:numId w:val="68"/>
        </w:numPr>
        <w:spacing w:before="120" w:after="120" w:line="288" w:lineRule="auto"/>
        <w:ind w:left="0"/>
        <w:jc w:val="left"/>
      </w:pPr>
      <w:r>
        <w:rPr>
          <w:rFonts w:eastAsia="等线" w:ascii="Arial" w:cs="Arial" w:hAnsi="Arial"/>
          <w:sz w:val="22"/>
        </w:rPr>
        <w:t>改善措施——待确定</w:t>
      </w:r>
    </w:p>
    <w:p>
      <w:pPr>
        <w:spacing w:before="120" w:after="120" w:line="288" w:lineRule="auto"/>
        <w:ind w:left="0"/>
        <w:jc w:val="left"/>
      </w:pPr>
    </w:p>
    <w:p>
      <w:pPr>
        <w:numPr>
          <w:numId w:val="69"/>
        </w:numPr>
        <w:spacing w:before="120" w:after="120" w:line="288" w:lineRule="auto"/>
        <w:ind w:left="0"/>
        <w:jc w:val="left"/>
      </w:pPr>
      <w:r>
        <w:rPr>
          <w:rFonts w:eastAsia="等线" w:ascii="Arial" w:cs="Arial" w:hAnsi="Arial"/>
          <w:b w:val="true"/>
          <w:sz w:val="22"/>
        </w:rPr>
        <w:t>原因4-渠道和客户要货时间不一致（2个，占比13%）</w:t>
      </w:r>
      <w:r>
        <w:rPr>
          <w:rFonts w:eastAsia="等线" w:ascii="Arial" w:cs="Arial" w:hAnsi="Arial"/>
          <w:sz w:val="22"/>
        </w:rPr>
        <w:t>：渠道出于自身原因考虑，要货时间延后，后出于客户的压力，将要货时间提前。</w:t>
      </w:r>
    </w:p>
    <w:p>
      <w:pPr>
        <w:numPr>
          <w:numId w:val="70"/>
        </w:numPr>
        <w:spacing w:before="120" w:after="120" w:line="288" w:lineRule="auto"/>
        <w:ind w:left="0"/>
        <w:jc w:val="left"/>
      </w:pPr>
      <w:r>
        <w:rPr>
          <w:rFonts w:eastAsia="等线" w:ascii="Arial" w:cs="Arial" w:hAnsi="Arial"/>
          <w:sz w:val="22"/>
        </w:rPr>
        <w:t>改善措施——要货时间严格按照3T指导书，优先以客户业务上线/设备安装时间，再次考虑渠道自身安排。如有必要需要双重确认。</w:t>
      </w:r>
    </w:p>
    <w:p>
      <w:pPr>
        <w:spacing w:before="120" w:after="120" w:line="288" w:lineRule="auto"/>
        <w:ind w:left="0"/>
        <w:jc w:val="left"/>
      </w:pPr>
    </w:p>
    <w:p>
      <w:pPr>
        <w:numPr>
          <w:numId w:val="71"/>
        </w:numPr>
        <w:spacing w:before="120" w:after="120" w:line="288" w:lineRule="auto"/>
        <w:ind w:left="0"/>
        <w:jc w:val="left"/>
      </w:pPr>
      <w:r>
        <w:rPr>
          <w:rFonts w:eastAsia="等线" w:ascii="Arial" w:cs="Arial" w:hAnsi="Arial"/>
          <w:b w:val="true"/>
          <w:sz w:val="22"/>
        </w:rPr>
        <w:t>原因5-施工进度延迟（2个，占比13%）</w:t>
      </w:r>
      <w:r>
        <w:rPr>
          <w:rFonts w:eastAsia="等线" w:ascii="Arial" w:cs="Arial" w:hAnsi="Arial"/>
          <w:sz w:val="22"/>
        </w:rPr>
        <w:t>：在当月承诺时，除考虑客户业务上线/设备使用时间倒推，还需要考虑客户现场施工进度导致的延迟，进一步校准要货时间。</w:t>
      </w:r>
    </w:p>
    <w:p>
      <w:pPr>
        <w:numPr>
          <w:numId w:val="72"/>
        </w:numPr>
        <w:spacing w:before="120" w:after="120" w:line="288" w:lineRule="auto"/>
        <w:ind w:left="0"/>
        <w:jc w:val="left"/>
      </w:pPr>
      <w:r>
        <w:rPr>
          <w:rFonts w:eastAsia="等线" w:ascii="Arial" w:cs="Arial" w:hAnsi="Arial"/>
          <w:sz w:val="22"/>
        </w:rPr>
        <w:t>改善措施——在当月承诺时，除考虑客户业务上线/设备使用时间倒推，还需要考虑客户现场施工进度导致的延迟，进一步校准要货时间。</w:t>
      </w:r>
    </w:p>
    <w:p>
      <w:pPr>
        <w:spacing w:before="120" w:after="120" w:line="288" w:lineRule="auto"/>
        <w:ind w:left="0"/>
        <w:jc w:val="left"/>
      </w:pPr>
    </w:p>
    <w:p>
      <w:pPr>
        <w:numPr>
          <w:numId w:val="73"/>
        </w:numPr>
        <w:spacing w:before="120" w:after="120" w:line="288" w:lineRule="auto"/>
        <w:ind w:left="0"/>
        <w:jc w:val="left"/>
      </w:pPr>
      <w:r>
        <w:rPr>
          <w:rFonts w:eastAsia="等线" w:ascii="Arial" w:cs="Arial" w:hAnsi="Arial"/>
          <w:b w:val="true"/>
          <w:sz w:val="22"/>
        </w:rPr>
        <w:t>原因6-3T标准执行不严格（2个，占比13%）</w:t>
      </w:r>
      <w:r>
        <w:rPr>
          <w:rFonts w:eastAsia="等线" w:ascii="Arial" w:cs="Arial" w:hAnsi="Arial"/>
          <w:sz w:val="22"/>
        </w:rPr>
        <w:t>：2024年济南市天桥区老旧小区城市更新项目弱电智能化专项 工程施工，已知项目10月进场施工，但未及时更新CRM；投融资-齐鲁医药学院主校区扩建楼追加，已知学校在8月底要完工，未考虑项目实施周期，将要货时间放在了8月下。</w:t>
      </w:r>
    </w:p>
    <w:p>
      <w:pPr>
        <w:numPr>
          <w:numId w:val="74"/>
        </w:numPr>
        <w:spacing w:before="120" w:after="120" w:line="288" w:lineRule="auto"/>
        <w:ind w:left="0"/>
        <w:jc w:val="left"/>
      </w:pPr>
      <w:r>
        <w:rPr>
          <w:rFonts w:eastAsia="等线" w:ascii="Arial" w:cs="Arial" w:hAnsi="Arial"/>
          <w:sz w:val="22"/>
        </w:rPr>
        <w:t>改善措施——项目发生变化时及时更新CRM，要货时间严格按照3T指导书，优先以客户业务上线/设备安装时间倒推要货时间。</w:t>
      </w:r>
    </w:p>
    <w:p>
      <w:pPr>
        <w:pStyle w:val="1"/>
        <w:spacing w:before="380" w:after="140" w:line="288" w:lineRule="auto"/>
        <w:ind w:left="0"/>
        <w:jc w:val="left"/>
        <w:outlineLvl w:val="0"/>
      </w:pPr>
      <w:bookmarkStart w:name="heading_4" w:id="4"/>
      <w:r>
        <w:rPr>
          <w:rFonts w:eastAsia="等线" w:ascii="Arial" w:cs="Arial" w:hAnsi="Arial"/>
          <w:color w:val="3370ff"/>
          <w:sz w:val="36"/>
        </w:rPr>
        <w:t xml:space="preserve">3. </w:t>
      </w:r>
      <w:r>
        <w:rPr>
          <w:rFonts w:eastAsia="等线" w:ascii="Arial" w:cs="Arial" w:hAnsi="Arial"/>
          <w:b w:val="true"/>
          <w:sz w:val="36"/>
        </w:rPr>
        <w:t>复盘过程中</w:t>
      </w:r>
      <w:r>
        <w:rPr>
          <w:rFonts w:eastAsia="等线" w:ascii="Arial" w:cs="Arial" w:hAnsi="Arial"/>
          <w:b w:val="true"/>
          <w:sz w:val="36"/>
        </w:rPr>
        <w:t>看到</w:t>
      </w:r>
      <w:r>
        <w:rPr>
          <w:rFonts w:eastAsia="等线" w:ascii="Arial" w:cs="Arial" w:hAnsi="Arial"/>
          <w:b w:val="true"/>
          <w:sz w:val="36"/>
        </w:rPr>
        <w:t>的问题</w:t>
      </w:r>
      <w:bookmarkEnd w:id="4"/>
    </w:p>
    <w:p>
      <w:pPr>
        <w:spacing w:before="120" w:after="120" w:line="288" w:lineRule="auto"/>
        <w:ind w:left="0"/>
        <w:jc w:val="left"/>
      </w:pPr>
      <w:r>
        <w:rPr>
          <w:rFonts w:eastAsia="等线" w:ascii="Arial" w:cs="Arial" w:hAnsi="Arial"/>
          <w:b w:val="true"/>
          <w:sz w:val="22"/>
        </w:rPr>
        <w:t>（一）系统与方法</w:t>
      </w:r>
      <w:r>
        <w:rPr>
          <w:rFonts w:eastAsia="等线" w:ascii="Arial" w:cs="Arial" w:hAnsi="Arial"/>
          <w:b w:val="true"/>
          <w:sz w:val="22"/>
        </w:rPr>
        <w:t>仍存在缺失</w:t>
      </w:r>
      <w:r>
        <w:rPr>
          <w:rFonts w:eastAsia="等线" w:ascii="Arial" w:cs="Arial" w:hAnsi="Arial"/>
          <w:b w:val="true"/>
          <w:sz w:val="22"/>
        </w:rPr>
        <w:t>：校准逻辑未落地，</w:t>
      </w:r>
      <w:r>
        <w:rPr>
          <w:rFonts w:eastAsia="等线" w:ascii="Arial" w:cs="Arial" w:hAnsi="Arial"/>
          <w:b w:val="true"/>
          <w:sz w:val="22"/>
        </w:rPr>
        <w:t>当前仍</w:t>
      </w:r>
      <w:r>
        <w:rPr>
          <w:rFonts w:eastAsia="等线" w:ascii="Arial" w:cs="Arial" w:hAnsi="Arial"/>
          <w:b w:val="true"/>
          <w:sz w:val="22"/>
        </w:rPr>
        <w:t>依赖</w:t>
      </w:r>
      <w:r>
        <w:rPr>
          <w:rFonts w:eastAsia="等线" w:ascii="Arial" w:cs="Arial" w:hAnsi="Arial"/>
          <w:b w:val="true"/>
          <w:sz w:val="22"/>
        </w:rPr>
        <w:t>销售主管</w:t>
      </w:r>
      <w:r>
        <w:rPr>
          <w:rFonts w:eastAsia="等线" w:ascii="Arial" w:cs="Arial" w:hAnsi="Arial"/>
          <w:b w:val="true"/>
          <w:sz w:val="22"/>
        </w:rPr>
        <w:t>判断</w:t>
      </w:r>
    </w:p>
    <w:p>
      <w:pPr>
        <w:numPr>
          <w:numId w:val="75"/>
        </w:numPr>
        <w:spacing w:before="120" w:after="120" w:line="288" w:lineRule="auto"/>
        <w:ind w:left="0"/>
        <w:jc w:val="left"/>
      </w:pPr>
      <w:r>
        <w:rPr>
          <w:rFonts w:eastAsia="等线" w:ascii="Arial" w:cs="Arial" w:hAnsi="Arial"/>
          <w:sz w:val="22"/>
        </w:rPr>
        <w:t>SLA 方案未上线，时间校准无依据原设计 “下单时间 = 要货时间 - SLA” 的科学校准逻辑，但 SLA 功能（含不同产品 SLA 分级、自动计算最晚下单时间）未按计划上线，导致销售无法通过系统自动推导下单时间，只能凭经验估算（如按 “客户要货前 1 个月” 模糊填写），偏差率高。例如上海区域 9 月 M-1 下单时间准确率仅 33%，部分项目因未考虑产品 SLA 差异（如数据中心产品 SLA 14 天、无线产品 7 天），导致估算偏差超 30 天。</w:t>
      </w:r>
    </w:p>
    <w:p>
      <w:pPr>
        <w:numPr>
          <w:numId w:val="76"/>
        </w:numPr>
        <w:spacing w:before="120" w:after="120" w:line="288" w:lineRule="auto"/>
        <w:ind w:left="0"/>
        <w:jc w:val="left"/>
      </w:pPr>
      <w:r>
        <w:rPr>
          <w:rFonts w:eastAsia="等线" w:ascii="Arial" w:cs="Arial" w:hAnsi="Arial"/>
          <w:sz w:val="22"/>
        </w:rPr>
        <w:t>EPC总包项目、AIGC项目、企业框采分批要货项目，由于项目本身的周期、资金、客户需求灵活等因素，导致销售按目前做准T的方法执行，下单和要货时间做准的概率较低，预测方法需要优化</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（二）数据统计及口径的协同问题</w:t>
      </w:r>
    </w:p>
    <w:p>
      <w:pPr>
        <w:numPr>
          <w:numId w:val="77"/>
        </w:numPr>
        <w:spacing w:before="120" w:after="120" w:line="288" w:lineRule="auto"/>
        <w:ind w:left="0"/>
        <w:jc w:val="left"/>
      </w:pPr>
      <w:r>
        <w:rPr>
          <w:rFonts w:eastAsia="等线" w:ascii="Arial" w:cs="Arial" w:hAnsi="Arial"/>
          <w:sz w:val="22"/>
        </w:rPr>
        <w:t>销售与供应链统计口径不一致。</w:t>
      </w:r>
      <w:r>
        <w:rPr>
          <w:rFonts w:eastAsia="等线" w:ascii="Arial" w:cs="Arial" w:hAnsi="Arial"/>
          <w:i w:val="true"/>
          <w:color w:val="d83931"/>
          <w:sz w:val="22"/>
        </w:rPr>
        <w:t>供应链统计 “下单时间准” 以 ERP 实际订单时间为准，未区分 “借用转销售、测试转销售” 等订单类型；销管统计以 CRM 中销售填写的 “预计下单时间” 为准</w:t>
      </w:r>
      <w:r>
        <w:rPr>
          <w:rFonts w:eastAsia="等线" w:ascii="Arial" w:cs="Arial" w:hAnsi="Arial"/>
          <w:sz w:val="22"/>
        </w:rPr>
        <w:t>，二者未拉齐统计规则（如是否剔除借用转销售、测试转销售等订单类型），导致数据偏差（如供应链统计上海区域 9 月下单准确率 67%，销管统计为 83%）。</w:t>
      </w:r>
    </w:p>
    <w:p>
      <w:pPr>
        <w:numPr>
          <w:numId w:val="78"/>
        </w:numPr>
        <w:spacing w:before="120" w:after="120" w:line="288" w:lineRule="auto"/>
        <w:ind w:left="0"/>
        <w:jc w:val="left"/>
      </w:pPr>
      <w:r>
        <w:rPr>
          <w:rFonts w:eastAsia="等线" w:ascii="Arial" w:cs="Arial" w:hAnsi="Arial"/>
          <w:sz w:val="22"/>
        </w:rPr>
        <w:t>CRM 系统未支持 “分批承诺预测” 的要货时间填写，部分项目需分批交付（如某项目分 3 批要货，分别为 9 月、10 月、11 月），但系统仅能录入总要货时间，无法拆分批次时间，导致供应链按总时间备货，实际按批次要货时出现 “备货过早 / 过晚”，要货时间准确率普遍偏低（上海、山东区域 M-0 要货准确率均低于 50%）。</w:t>
      </w:r>
    </w:p>
    <w:p>
      <w:pPr>
        <w:numPr>
          <w:numId w:val="79"/>
        </w:numPr>
        <w:spacing w:before="120" w:after="120" w:line="288" w:lineRule="auto"/>
        <w:ind w:left="0"/>
        <w:jc w:val="left"/>
      </w:pPr>
      <w:r>
        <w:rPr>
          <w:rFonts w:eastAsia="等线" w:ascii="Arial" w:cs="Arial" w:hAnsi="Arial"/>
          <w:sz w:val="22"/>
        </w:rPr>
        <w:t>要货时间的标准未对齐，当前做的标准是“自然月”统计，后续会调整为 “要货时间±15天”</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（三）落地执行问题</w:t>
      </w:r>
    </w:p>
    <w:p>
      <w:pPr>
        <w:numPr>
          <w:numId w:val="80"/>
        </w:numPr>
        <w:spacing w:before="120" w:after="120" w:line="288" w:lineRule="auto"/>
        <w:ind w:left="0"/>
        <w:jc w:val="left"/>
      </w:pPr>
      <w:r>
        <w:rPr>
          <w:rFonts w:eastAsia="等线" w:ascii="Arial" w:cs="Arial" w:hAnsi="Arial"/>
          <w:sz w:val="22"/>
        </w:rPr>
        <w:t>M-2 阶段预测未纳入管控，当前区域 执行主要聚焦 M-0（当月）、M-1（隔月）下单时间管理，M-2（第三个月）预测缺乏明确执行要求与监控机制，试点区域（上海、山东）M-2 下单时间准确率普遍低于 30%（上海 27%、山东 27%），未形成 “长周期预测 - 校准” 闭环，需要下一步加强推行</w:t>
      </w:r>
    </w:p>
    <w:p>
      <w:pPr>
        <w:pStyle w:val="1"/>
        <w:spacing w:before="380" w:after="140" w:line="288" w:lineRule="auto"/>
        <w:ind w:left="0"/>
        <w:jc w:val="left"/>
        <w:outlineLvl w:val="0"/>
      </w:pPr>
      <w:bookmarkStart w:name="heading_5" w:id="5"/>
      <w:r>
        <w:rPr>
          <w:rFonts w:eastAsia="等线" w:ascii="Arial" w:cs="Arial" w:hAnsi="Arial"/>
          <w:color w:val="3370ff"/>
          <w:sz w:val="36"/>
        </w:rPr>
        <w:t xml:space="preserve">4. </w:t>
      </w:r>
      <w:r>
        <w:rPr>
          <w:rFonts w:eastAsia="等线" w:ascii="Arial" w:cs="Arial" w:hAnsi="Arial"/>
          <w:b w:val="true"/>
          <w:sz w:val="36"/>
        </w:rPr>
        <w:t>如何做准T的建议</w:t>
      </w:r>
      <w:bookmarkEnd w:id="5"/>
    </w:p>
    <w:p>
      <w:pPr>
        <w:spacing w:before="120" w:after="120" w:line="288" w:lineRule="auto"/>
        <w:ind w:left="0"/>
        <w:jc w:val="center"/>
      </w:pPr>
      <w:r>
        <w:drawing>
          <wp:inline distT="0" distR="0" distB="0" distL="0">
            <wp:extent cx="5257800" cy="340042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40"/>
                    <a:stretch>
                      <a:fillRect/>
                    </a:stretch>
                  </pic:blipFill>
                  <pic:spPr>
                    <a:xfrm>
                      <a:off x="0" y="0"/>
                      <a:ext cx="5257800" cy="3400425"/>
                    </a:xfrm>
                    <a:prstGeom prst="rect">
                      <a:avLst/>
                    </a:prstGeom>
                  </pic:spPr>
                </pic:pic>
              </a:graphicData>
            </a:graphic>
          </wp:inline>
        </w:drawing>
      </w:r>
    </w:p>
    <w:p>
      <w:pPr>
        <w:numPr>
          <w:numId w:val="81"/>
        </w:numPr>
        <w:spacing w:before="120" w:after="120" w:line="288" w:lineRule="auto"/>
        <w:ind w:left="0"/>
        <w:jc w:val="left"/>
      </w:pPr>
      <w:r>
        <w:rPr>
          <w:rFonts w:eastAsia="等线" w:ascii="Arial" w:cs="Arial" w:hAnsi="Arial"/>
          <w:b w:val="true"/>
          <w:sz w:val="22"/>
        </w:rPr>
        <w:t>做准</w:t>
      </w:r>
      <w:r>
        <w:rPr>
          <w:rFonts w:eastAsia="等线" w:ascii="Arial" w:cs="Arial" w:hAnsi="Arial"/>
          <w:b w:val="true"/>
          <w:sz w:val="22"/>
        </w:rPr>
        <w:t>预计</w:t>
      </w:r>
      <w:r>
        <w:rPr>
          <w:rFonts w:eastAsia="等线" w:ascii="Arial" w:cs="Arial" w:hAnsi="Arial"/>
          <w:b w:val="true"/>
          <w:sz w:val="22"/>
        </w:rPr>
        <w:t>下单时间</w:t>
      </w:r>
    </w:p>
    <w:p>
      <w:pPr>
        <w:numPr>
          <w:numId w:val="82"/>
        </w:numPr>
        <w:spacing w:before="120" w:after="120" w:line="288" w:lineRule="auto"/>
        <w:ind w:left="0"/>
        <w:jc w:val="left"/>
      </w:pPr>
      <w:r>
        <w:rPr>
          <w:rFonts w:eastAsia="等线" w:ascii="Arial" w:cs="Arial" w:hAnsi="Arial"/>
          <w:sz w:val="22"/>
        </w:rPr>
        <w:t>上线SLA方案，通过下单时间=要货时间-SLA的校准方式</w:t>
      </w:r>
      <w:r>
        <w:rPr>
          <w:rFonts w:eastAsia="等线" w:ascii="Arial" w:cs="Arial" w:hAnsi="Arial"/>
          <w:sz w:val="22"/>
        </w:rPr>
        <w:t>，辅助</w:t>
      </w:r>
      <w:r>
        <w:rPr>
          <w:rFonts w:eastAsia="等线" w:ascii="Arial" w:cs="Arial" w:hAnsi="Arial"/>
          <w:sz w:val="22"/>
        </w:rPr>
        <w:t>销售</w:t>
      </w:r>
      <w:r>
        <w:rPr>
          <w:rFonts w:eastAsia="等线" w:ascii="Arial" w:cs="Arial" w:hAnsi="Arial"/>
          <w:sz w:val="22"/>
        </w:rPr>
        <w:t>提高</w:t>
      </w:r>
      <w:r>
        <w:rPr>
          <w:rFonts w:eastAsia="等线" w:ascii="Arial" w:cs="Arial" w:hAnsi="Arial"/>
          <w:sz w:val="22"/>
        </w:rPr>
        <w:t>下单时间</w:t>
      </w:r>
      <w:r>
        <w:rPr>
          <w:rFonts w:eastAsia="等线" w:ascii="Arial" w:cs="Arial" w:hAnsi="Arial"/>
          <w:sz w:val="22"/>
        </w:rPr>
        <w:t>的准确性</w:t>
      </w:r>
      <w:r>
        <w:rPr>
          <w:rFonts w:eastAsia="等线" w:ascii="Arial" w:cs="Arial" w:hAnsi="Arial"/>
          <w:sz w:val="22"/>
        </w:rPr>
        <w:t>；</w:t>
      </w:r>
    </w:p>
    <w:p>
      <w:pPr>
        <w:numPr>
          <w:numId w:val="83"/>
        </w:numPr>
        <w:spacing w:before="120" w:after="120" w:line="288" w:lineRule="auto"/>
        <w:ind w:left="453"/>
        <w:jc w:val="left"/>
      </w:pPr>
      <w:r>
        <w:rPr>
          <w:rFonts w:eastAsia="等线" w:ascii="Arial" w:cs="Arial" w:hAnsi="Arial"/>
          <w:sz w:val="22"/>
        </w:rPr>
        <w:t>功能落地：完成 SLA 系统开发，按供应链提供的SLA时间，CRM系统自动按 “下单时间 = 要货时间 - SLA” 计算最晚下单时间，若销售填写的预计下单时间晚于系统计算值，触发预警并阻断提交，强制校准。</w:t>
      </w:r>
    </w:p>
    <w:p>
      <w:pPr>
        <w:numPr>
          <w:numId w:val="84"/>
        </w:numPr>
        <w:spacing w:before="120" w:after="120" w:line="288" w:lineRule="auto"/>
        <w:ind w:left="453"/>
        <w:jc w:val="left"/>
      </w:pPr>
      <w:r>
        <w:rPr>
          <w:rFonts w:eastAsia="等线" w:ascii="Arial" w:cs="Arial" w:hAnsi="Arial"/>
          <w:sz w:val="22"/>
        </w:rPr>
        <w:t>数据联动：将 SLA 数据与 ERP、CRM 打通，实时同步产品 SLA 变更（如供应链通知某产品 SLA 延长至 21 天，系统自动更新计算逻辑）。</w:t>
      </w:r>
    </w:p>
    <w:p>
      <w:pPr>
        <w:numPr>
          <w:numId w:val="85"/>
        </w:numPr>
        <w:spacing w:before="120" w:after="120" w:line="288" w:lineRule="auto"/>
        <w:ind w:left="453"/>
        <w:jc w:val="left"/>
      </w:pPr>
      <w:r>
        <w:rPr>
          <w:rFonts w:eastAsia="等线" w:ascii="Arial" w:cs="Arial" w:hAnsi="Arial"/>
          <w:sz w:val="22"/>
        </w:rPr>
        <w:t>优化销售对于渠道下单时间的把控，遵循预计要货时间节奏安排下单计划；</w:t>
      </w:r>
    </w:p>
    <w:p>
      <w:pPr>
        <w:numPr>
          <w:numId w:val="86"/>
        </w:numPr>
        <w:spacing w:before="120" w:after="120" w:line="288" w:lineRule="auto"/>
        <w:ind w:left="0"/>
        <w:jc w:val="left"/>
      </w:pPr>
      <w:r>
        <w:rPr>
          <w:rFonts w:eastAsia="等线" w:ascii="Arial" w:cs="Arial" w:hAnsi="Arial"/>
          <w:sz w:val="22"/>
        </w:rPr>
        <w:t>强化当前的销售预测流程，把M-2的流程也管起来；</w:t>
      </w:r>
    </w:p>
    <w:p>
      <w:pPr>
        <w:numPr>
          <w:numId w:val="87"/>
        </w:numPr>
        <w:spacing w:before="120" w:after="120" w:line="288" w:lineRule="auto"/>
        <w:ind w:left="453"/>
        <w:jc w:val="left"/>
      </w:pPr>
      <w:r>
        <w:rPr>
          <w:rFonts w:eastAsia="等线" w:ascii="Arial" w:cs="Arial" w:hAnsi="Arial"/>
          <w:sz w:val="22"/>
        </w:rPr>
        <w:t>明确要求：参照M-0和M-1的管控要求，明确M-2预测流程和要求，纳入销售考核。</w:t>
      </w:r>
    </w:p>
    <w:p>
      <w:pPr>
        <w:numPr>
          <w:numId w:val="88"/>
        </w:numPr>
        <w:spacing w:before="120" w:after="120" w:line="288" w:lineRule="auto"/>
        <w:ind w:left="0"/>
        <w:jc w:val="left"/>
      </w:pPr>
      <w:r>
        <w:rPr>
          <w:rFonts w:eastAsia="等线" w:ascii="Arial" w:cs="Arial" w:hAnsi="Arial"/>
          <w:sz w:val="22"/>
        </w:rPr>
        <w:t>拉齐销售与供应链统计口径，统一评价标准</w:t>
      </w:r>
    </w:p>
    <w:p>
      <w:pPr>
        <w:numPr>
          <w:numId w:val="89"/>
        </w:numPr>
        <w:spacing w:before="120" w:after="120" w:line="288" w:lineRule="auto"/>
        <w:ind w:left="453"/>
        <w:jc w:val="left"/>
      </w:pPr>
      <w:r>
        <w:rPr>
          <w:rFonts w:eastAsia="等线" w:ascii="Arial" w:cs="Arial" w:hAnsi="Arial"/>
          <w:sz w:val="22"/>
        </w:rPr>
        <w:t>明确 “下单时间准确性”指标定义和计算方式，剔除 “借用转销售、测试转销售” 等非正常订单类型，每月由销管与供应链核对上月数据，确保口径一致。</w:t>
      </w:r>
    </w:p>
    <w:p>
      <w:pPr>
        <w:spacing w:before="120" w:after="120" w:line="288" w:lineRule="auto"/>
        <w:ind w:left="0"/>
        <w:jc w:val="left"/>
      </w:pPr>
      <w:r>
        <w:rPr>
          <w:rFonts w:eastAsia="等线" w:ascii="Arial" w:cs="Arial" w:hAnsi="Arial"/>
          <w:b w:val="true"/>
          <w:color w:val="d83931"/>
          <w:sz w:val="22"/>
        </w:rPr>
        <w:t>复盘机制——复盘日，范围，项目，人员明确</w:t>
      </w:r>
    </w:p>
    <w:p>
      <w:pPr>
        <w:spacing w:before="120" w:after="120" w:line="288" w:lineRule="auto"/>
        <w:ind w:left="0"/>
        <w:jc w:val="left"/>
      </w:pPr>
    </w:p>
    <w:p>
      <w:pPr>
        <w:numPr>
          <w:numId w:val="90"/>
        </w:numPr>
        <w:spacing w:before="120" w:after="120" w:line="288" w:lineRule="auto"/>
        <w:ind w:left="0"/>
        <w:jc w:val="left"/>
      </w:pPr>
      <w:r>
        <w:rPr>
          <w:rFonts w:eastAsia="等线" w:ascii="Arial" w:cs="Arial" w:hAnsi="Arial"/>
          <w:b w:val="true"/>
          <w:sz w:val="22"/>
        </w:rPr>
        <w:t>做准</w:t>
      </w:r>
      <w:r>
        <w:rPr>
          <w:rFonts w:eastAsia="等线" w:ascii="Arial" w:cs="Arial" w:hAnsi="Arial"/>
          <w:b w:val="true"/>
          <w:sz w:val="22"/>
        </w:rPr>
        <w:t>预计</w:t>
      </w:r>
      <w:r>
        <w:rPr>
          <w:rFonts w:eastAsia="等线" w:ascii="Arial" w:cs="Arial" w:hAnsi="Arial"/>
          <w:b w:val="true"/>
          <w:sz w:val="22"/>
        </w:rPr>
        <w:t>要货时间</w:t>
      </w:r>
    </w:p>
    <w:p>
      <w:pPr>
        <w:numPr>
          <w:numId w:val="91"/>
        </w:numPr>
        <w:spacing w:before="120" w:after="120" w:line="288" w:lineRule="auto"/>
        <w:ind w:left="0"/>
        <w:jc w:val="left"/>
      </w:pPr>
      <w:r>
        <w:rPr>
          <w:rFonts w:eastAsia="等线" w:ascii="Arial" w:cs="Arial" w:hAnsi="Arial"/>
          <w:sz w:val="22"/>
        </w:rPr>
        <w:t>加强一线培训与宣贯，对于有分批下单诉求的项目，使用现有</w:t>
      </w:r>
      <w:r>
        <w:rPr>
          <w:rFonts w:eastAsia="等线" w:ascii="Arial" w:cs="Arial" w:hAnsi="Arial"/>
          <w:sz w:val="22"/>
        </w:rPr>
        <w:t xml:space="preserve"> CRM 分批</w:t>
      </w:r>
      <w:r>
        <w:rPr>
          <w:rFonts w:eastAsia="等线" w:ascii="Arial" w:cs="Arial" w:hAnsi="Arial"/>
          <w:sz w:val="22"/>
        </w:rPr>
        <w:t>下单计划功能</w:t>
      </w:r>
    </w:p>
    <w:p>
      <w:pPr>
        <w:numPr>
          <w:numId w:val="92"/>
        </w:numPr>
        <w:spacing w:before="120" w:after="120" w:line="288" w:lineRule="auto"/>
        <w:ind w:left="453"/>
        <w:jc w:val="left"/>
      </w:pPr>
      <w:r>
        <w:rPr>
          <w:rFonts w:eastAsia="等线" w:ascii="Arial" w:cs="Arial" w:hAnsi="Arial"/>
          <w:sz w:val="22"/>
        </w:rPr>
        <w:t>“分批要货时间录入” 模块：在 CRM “分批承诺预测” 中，销售按批次填写要货时间，并关联对应配置清单，供应链可通过系统直接获取分批要货数据，按批次备货。</w:t>
      </w:r>
    </w:p>
    <w:p>
      <w:pPr>
        <w:numPr>
          <w:numId w:val="93"/>
        </w:numPr>
        <w:spacing w:before="120" w:after="120" w:line="288" w:lineRule="auto"/>
        <w:ind w:left="453"/>
        <w:jc w:val="left"/>
      </w:pPr>
      <w:r>
        <w:rPr>
          <w:rFonts w:eastAsia="等线" w:ascii="Arial" w:cs="Arial" w:hAnsi="Arial"/>
          <w:sz w:val="22"/>
        </w:rPr>
        <w:t>增加</w:t>
      </w:r>
      <w:r>
        <w:rPr>
          <w:rFonts w:eastAsia="等线" w:ascii="Arial" w:cs="Arial" w:hAnsi="Arial"/>
          <w:sz w:val="22"/>
        </w:rPr>
        <w:t>数据校验：系统自动校验 “总要货时间≥最后一批要货时间”，避免逻辑矛盾（如总要货时间 9 月，批次 2 要货时间 10 月）。</w:t>
      </w:r>
    </w:p>
    <w:p>
      <w:pPr>
        <w:numPr>
          <w:numId w:val="94"/>
        </w:numPr>
        <w:spacing w:before="120" w:after="120" w:line="288" w:lineRule="auto"/>
        <w:ind w:left="0"/>
        <w:jc w:val="left"/>
      </w:pPr>
      <w:r>
        <w:rPr>
          <w:rFonts w:eastAsia="等线" w:ascii="Arial" w:cs="Arial" w:hAnsi="Arial"/>
          <w:sz w:val="22"/>
        </w:rPr>
        <w:t>在MO销售流程中植入供应链对于要货时间的要求，在关键节点引入供应链沟通与评审，提升预计要货时间填写的准确性；</w:t>
      </w:r>
    </w:p>
    <w:p>
      <w:pPr>
        <w:numPr>
          <w:numId w:val="95"/>
        </w:numPr>
        <w:spacing w:before="120" w:after="120" w:line="288" w:lineRule="auto"/>
        <w:ind w:left="453"/>
        <w:jc w:val="left"/>
      </w:pPr>
      <w:r>
        <w:rPr>
          <w:rFonts w:eastAsia="等线" w:ascii="Arial" w:cs="Arial" w:hAnsi="Arial"/>
          <w:sz w:val="22"/>
        </w:rPr>
        <w:t>针对</w:t>
      </w:r>
      <w:r>
        <w:rPr>
          <w:rFonts w:eastAsia="等线" w:ascii="Arial" w:cs="Arial" w:hAnsi="Arial"/>
          <w:sz w:val="22"/>
        </w:rPr>
        <w:t>大型项目，在 MO 流程 “项目启动会” 环节邀请供应链参与，共同评估项目主计划（如总包进度、其他设备到货时间），制定 “要货时间备选方案”（如主计划延期则要货时间同步后延 1 个月），并录入 CRM 备案。</w:t>
      </w:r>
    </w:p>
    <w:p>
      <w:pPr>
        <w:numPr>
          <w:numId w:val="96"/>
        </w:numPr>
        <w:spacing w:before="120" w:after="120" w:line="288" w:lineRule="auto"/>
        <w:ind w:left="0"/>
        <w:jc w:val="left"/>
      </w:pPr>
      <w:r>
        <w:rPr>
          <w:rFonts w:eastAsia="等线" w:ascii="Arial" w:cs="Arial" w:hAnsi="Arial"/>
          <w:sz w:val="22"/>
        </w:rPr>
        <w:t>针对渠道要货时间与供应链交付SLA发生比较大偏差的场景，设立特殊订单（加急，预约）审批机制。</w:t>
      </w:r>
    </w:p>
    <w:p>
      <w:pPr>
        <w:spacing w:before="120" w:after="120" w:line="288" w:lineRule="auto"/>
        <w:ind w:left="0"/>
        <w:jc w:val="left"/>
      </w:pPr>
    </w:p>
    <w:p>
      <w:pPr>
        <w:numPr>
          <w:numId w:val="97"/>
        </w:numPr>
        <w:spacing w:before="120" w:after="120" w:line="288" w:lineRule="auto"/>
        <w:ind w:left="0"/>
        <w:jc w:val="left"/>
      </w:pPr>
      <w:r>
        <w:rPr>
          <w:rFonts w:eastAsia="等线" w:ascii="Arial" w:cs="Arial" w:hAnsi="Arial"/>
          <w:b w:val="true"/>
          <w:sz w:val="22"/>
        </w:rPr>
        <w:t>建立</w:t>
      </w:r>
      <w:r>
        <w:rPr>
          <w:rFonts w:eastAsia="等线" w:ascii="Arial" w:cs="Arial" w:hAnsi="Arial"/>
          <w:b w:val="true"/>
          <w:sz w:val="22"/>
        </w:rPr>
        <w:t>复盘及</w:t>
      </w:r>
      <w:r>
        <w:rPr>
          <w:rFonts w:eastAsia="等线" w:ascii="Arial" w:cs="Arial" w:hAnsi="Arial"/>
          <w:b w:val="true"/>
          <w:sz w:val="22"/>
        </w:rPr>
        <w:t>异常变更快速响应流程</w:t>
      </w:r>
      <w:r>
        <w:rPr>
          <w:rFonts w:eastAsia="等线" w:ascii="Arial" w:cs="Arial" w:hAnsi="Arial"/>
          <w:b w:val="true"/>
          <w:sz w:val="22"/>
        </w:rPr>
        <w:t>和机制</w:t>
      </w:r>
    </w:p>
    <w:p>
      <w:pPr>
        <w:numPr>
          <w:numId w:val="98"/>
        </w:numPr>
        <w:spacing w:before="120" w:after="120" w:line="288" w:lineRule="auto"/>
        <w:ind w:left="453"/>
        <w:jc w:val="left"/>
      </w:pPr>
      <w:r>
        <w:rPr>
          <w:rFonts w:eastAsia="等线" w:ascii="Arial" w:cs="Arial" w:hAnsi="Arial"/>
          <w:sz w:val="22"/>
        </w:rPr>
        <w:t>月度复盘会：建立供应链与销售月度复盘机制，保证充分沟通，及时调整策略与持续优化现有流程。</w:t>
      </w:r>
    </w:p>
    <w:p>
      <w:pPr>
        <w:numPr>
          <w:numId w:val="99"/>
        </w:numPr>
        <w:spacing w:before="120" w:after="120" w:line="288" w:lineRule="auto"/>
        <w:ind w:left="453"/>
        <w:jc w:val="left"/>
      </w:pPr>
      <w:r>
        <w:rPr>
          <w:rFonts w:eastAsia="等线" w:ascii="Arial" w:cs="Arial" w:hAnsi="Arial"/>
          <w:sz w:val="22"/>
        </w:rPr>
        <w:t>异常变更快速响应：</w:t>
      </w:r>
      <w:r>
        <w:rPr>
          <w:rFonts w:eastAsia="等线" w:ascii="Arial" w:cs="Arial" w:hAnsi="Arial"/>
          <w:sz w:val="22"/>
        </w:rPr>
        <w:t>客户 / 渠道变更要货 / 下单时间时，销售需在 24 小时内更新 CRM，并在系统中选择变更原因（如 “客户预算延迟”“渠道资金问题”），供应链实时接收变更通知，调整备货计划；</w:t>
      </w:r>
    </w:p>
    <w:p>
      <w:pPr>
        <w:spacing w:before="120" w:after="120" w:line="288" w:lineRule="auto"/>
        <w:ind w:left="453"/>
        <w:jc w:val="left"/>
      </w:pPr>
    </w:p>
    <w:p>
      <w:pPr>
        <w:numPr>
          <w:numId w:val="100"/>
        </w:numPr>
        <w:spacing w:before="120" w:after="120" w:line="288" w:lineRule="auto"/>
        <w:ind w:left="0"/>
        <w:jc w:val="left"/>
      </w:pPr>
      <w:r>
        <w:rPr>
          <w:rFonts w:eastAsia="等线" w:ascii="Arial" w:cs="Arial" w:hAnsi="Arial"/>
          <w:b w:val="true"/>
          <w:sz w:val="22"/>
        </w:rPr>
        <w:t>关于做准T的目标建议</w:t>
      </w:r>
    </w:p>
    <w:p>
      <w:pPr>
        <w:numPr>
          <w:numId w:val="101"/>
        </w:numPr>
        <w:spacing w:before="120" w:after="120" w:line="288" w:lineRule="auto"/>
        <w:ind w:left="0"/>
        <w:jc w:val="left"/>
      </w:pPr>
      <w:r>
        <w:rPr>
          <w:rFonts w:eastAsia="等线" w:ascii="Arial" w:cs="Arial" w:hAnsi="Arial"/>
          <w:sz w:val="22"/>
        </w:rPr>
        <w:t>3T时间是否可以设置一个目标值，上下浮动5%，认为是“准”的</w:t>
      </w:r>
    </w:p>
    <w:p>
      <w:pPr>
        <w:spacing w:before="120" w:after="120" w:line="288" w:lineRule="auto"/>
        <w:ind w:left="0"/>
        <w:jc w:val="center"/>
      </w:pPr>
      <w:r>
        <w:drawing>
          <wp:inline distT="0" distR="0" distB="0" distL="0">
            <wp:extent cx="5257800" cy="210502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41"/>
                    <a:stretch>
                      <a:fillRect/>
                    </a:stretch>
                  </pic:blipFill>
                  <pic:spPr>
                    <a:xfrm>
                      <a:off x="0" y="0"/>
                      <a:ext cx="5257800" cy="21050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sectPr>
      <w:footerReference w:type="default" r:id="rId3"/>
      <w:headerReference w:type="default" r:id="rId42"/>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1237703">
    <w:lvl>
      <w:start w:val="1"/>
      <w:numFmt w:val="decimal"/>
      <w:suff w:val="tab"/>
      <w:lvlText w:val="%1."/>
      <w:rPr>
        <w:color w:val="3370ff"/>
      </w:rPr>
    </w:lvl>
  </w:abstractNum>
  <w:abstractNum w:abstractNumId="1237704">
    <w:lvl>
      <w:start w:val="2"/>
      <w:numFmt w:val="decimal"/>
      <w:suff w:val="tab"/>
      <w:lvlText w:val="%1."/>
      <w:rPr>
        <w:color w:val="3370ff"/>
      </w:rPr>
    </w:lvl>
  </w:abstractNum>
  <w:abstractNum w:abstractNumId="1237705">
    <w:lvl>
      <w:start w:val="3"/>
      <w:numFmt w:val="decimal"/>
      <w:suff w:val="tab"/>
      <w:lvlText w:val="%1."/>
      <w:rPr>
        <w:color w:val="3370ff"/>
      </w:rPr>
    </w:lvl>
  </w:abstractNum>
  <w:abstractNum w:abstractNumId="1237706">
    <w:lvl>
      <w:start w:val="1"/>
      <w:numFmt w:val="decimal"/>
      <w:suff w:val="tab"/>
      <w:lvlText w:val="%1."/>
      <w:rPr>
        <w:color w:val="3370ff"/>
      </w:rPr>
    </w:lvl>
  </w:abstractNum>
  <w:abstractNum w:abstractNumId="1237707">
    <w:lvl>
      <w:start w:val="2"/>
      <w:numFmt w:val="decimal"/>
      <w:suff w:val="tab"/>
      <w:lvlText w:val="%1."/>
      <w:rPr>
        <w:color w:val="3370ff"/>
      </w:rPr>
    </w:lvl>
  </w:abstractNum>
  <w:abstractNum w:abstractNumId="1237708">
    <w:lvl>
      <w:numFmt w:val="bullet"/>
      <w:suff w:val="tab"/>
      <w:lvlText w:val="•"/>
      <w:rPr>
        <w:color w:val="3370ff"/>
      </w:rPr>
    </w:lvl>
  </w:abstractNum>
  <w:abstractNum w:abstractNumId="1237709">
    <w:lvl>
      <w:start w:val="1"/>
      <w:numFmt w:val="decimal"/>
      <w:suff w:val="tab"/>
      <w:lvlText w:val="%1."/>
      <w:rPr>
        <w:color w:val="3370ff"/>
      </w:rPr>
    </w:lvl>
  </w:abstractNum>
  <w:abstractNum w:abstractNumId="1237710">
    <w:lvl>
      <w:start w:val="2"/>
      <w:numFmt w:val="decimal"/>
      <w:suff w:val="tab"/>
      <w:lvlText w:val="%1."/>
      <w:rPr>
        <w:color w:val="3370ff"/>
      </w:rPr>
    </w:lvl>
  </w:abstractNum>
  <w:abstractNum w:abstractNumId="1237711">
    <w:lvl>
      <w:start w:val="3"/>
      <w:numFmt w:val="decimal"/>
      <w:suff w:val="tab"/>
      <w:lvlText w:val="%1."/>
      <w:rPr>
        <w:color w:val="3370ff"/>
      </w:rPr>
    </w:lvl>
  </w:abstractNum>
  <w:abstractNum w:abstractNumId="1237712">
    <w:lvl>
      <w:numFmt w:val="bullet"/>
      <w:suff w:val="tab"/>
      <w:lvlText w:val="•"/>
      <w:rPr>
        <w:color w:val="3370ff"/>
      </w:rPr>
    </w:lvl>
  </w:abstractNum>
  <w:abstractNum w:abstractNumId="1237713">
    <w:lvl>
      <w:numFmt w:val="bullet"/>
      <w:suff w:val="tab"/>
      <w:lvlText w:val="•"/>
      <w:rPr>
        <w:color w:val="3370ff"/>
      </w:rPr>
    </w:lvl>
  </w:abstractNum>
  <w:abstractNum w:abstractNumId="1237714">
    <w:lvl>
      <w:numFmt w:val="bullet"/>
      <w:suff w:val="tab"/>
      <w:lvlText w:val="•"/>
      <w:rPr>
        <w:color w:val="3370ff"/>
      </w:rPr>
    </w:lvl>
  </w:abstractNum>
  <w:abstractNum w:abstractNumId="1237715">
    <w:lvl>
      <w:numFmt w:val="bullet"/>
      <w:suff w:val="tab"/>
      <w:lvlText w:val="•"/>
      <w:rPr>
        <w:color w:val="3370ff"/>
      </w:rPr>
    </w:lvl>
  </w:abstractNum>
  <w:abstractNum w:abstractNumId="1237716">
    <w:lvl>
      <w:numFmt w:val="bullet"/>
      <w:suff w:val="tab"/>
      <w:lvlText w:val="•"/>
      <w:rPr>
        <w:color w:val="3370ff"/>
      </w:rPr>
    </w:lvl>
  </w:abstractNum>
  <w:abstractNum w:abstractNumId="1237717">
    <w:lvl>
      <w:numFmt w:val="bullet"/>
      <w:suff w:val="tab"/>
      <w:lvlText w:val="•"/>
      <w:rPr>
        <w:color w:val="3370ff"/>
      </w:rPr>
    </w:lvl>
  </w:abstractNum>
  <w:abstractNum w:abstractNumId="1237718">
    <w:lvl>
      <w:start w:val="4"/>
      <w:numFmt w:val="decimal"/>
      <w:suff w:val="tab"/>
      <w:lvlText w:val="%1."/>
      <w:rPr>
        <w:color w:val="3370ff"/>
      </w:rPr>
    </w:lvl>
  </w:abstractNum>
  <w:abstractNum w:abstractNumId="1237719">
    <w:lvl>
      <w:numFmt w:val="bullet"/>
      <w:suff w:val="tab"/>
      <w:lvlText w:val="•"/>
      <w:rPr>
        <w:color w:val="3370ff"/>
      </w:rPr>
    </w:lvl>
  </w:abstractNum>
  <w:abstractNum w:abstractNumId="1237720">
    <w:lvl>
      <w:numFmt w:val="bullet"/>
      <w:suff w:val="tab"/>
      <w:lvlText w:val="•"/>
      <w:rPr>
        <w:color w:val="3370ff"/>
      </w:rPr>
    </w:lvl>
  </w:abstractNum>
  <w:abstractNum w:abstractNumId="1237721">
    <w:lvl>
      <w:numFmt w:val="bullet"/>
      <w:suff w:val="tab"/>
      <w:lvlText w:val="•"/>
      <w:rPr>
        <w:color w:val="3370ff"/>
      </w:rPr>
    </w:lvl>
  </w:abstractNum>
  <w:abstractNum w:abstractNumId="1237722">
    <w:lvl>
      <w:start w:val="1"/>
      <w:numFmt w:val="decimal"/>
      <w:suff w:val="tab"/>
      <w:lvlText w:val="%1."/>
      <w:rPr>
        <w:color w:val="3370ff"/>
      </w:rPr>
    </w:lvl>
  </w:abstractNum>
  <w:abstractNum w:abstractNumId="1237723">
    <w:lvl>
      <w:numFmt w:val="bullet"/>
      <w:suff w:val="tab"/>
      <w:lvlText w:val="•"/>
      <w:rPr>
        <w:color w:val="3370ff"/>
      </w:rPr>
    </w:lvl>
  </w:abstractNum>
  <w:abstractNum w:abstractNumId="1237724">
    <w:lvl>
      <w:numFmt w:val="bullet"/>
      <w:suff w:val="tab"/>
      <w:lvlText w:val="￮"/>
      <w:rPr>
        <w:color w:val="3370ff"/>
      </w:rPr>
    </w:lvl>
  </w:abstractNum>
  <w:abstractNum w:abstractNumId="1237725">
    <w:lvl>
      <w:numFmt w:val="bullet"/>
      <w:suff w:val="tab"/>
      <w:lvlText w:val="•"/>
      <w:rPr>
        <w:color w:val="3370ff"/>
      </w:rPr>
    </w:lvl>
  </w:abstractNum>
  <w:abstractNum w:abstractNumId="1237726">
    <w:lvl>
      <w:numFmt w:val="bullet"/>
      <w:suff w:val="tab"/>
      <w:lvlText w:val="￮"/>
      <w:rPr>
        <w:color w:val="3370ff"/>
      </w:rPr>
    </w:lvl>
  </w:abstractNum>
  <w:abstractNum w:abstractNumId="1237727">
    <w:lvl>
      <w:start w:val="2"/>
      <w:numFmt w:val="decimal"/>
      <w:suff w:val="tab"/>
      <w:lvlText w:val="%1."/>
      <w:rPr>
        <w:color w:val="3370ff"/>
      </w:rPr>
    </w:lvl>
  </w:abstractNum>
  <w:abstractNum w:abstractNumId="1237728">
    <w:lvl>
      <w:numFmt w:val="bullet"/>
      <w:suff w:val="tab"/>
      <w:lvlText w:val="•"/>
      <w:rPr>
        <w:color w:val="3370ff"/>
      </w:rPr>
    </w:lvl>
  </w:abstractNum>
  <w:abstractNum w:abstractNumId="1237729">
    <w:lvl>
      <w:numFmt w:val="bullet"/>
      <w:suff w:val="tab"/>
      <w:lvlText w:val="￮"/>
      <w:rPr>
        <w:color w:val="3370ff"/>
      </w:rPr>
    </w:lvl>
  </w:abstractNum>
  <w:abstractNum w:abstractNumId="1237730">
    <w:lvl>
      <w:numFmt w:val="bullet"/>
      <w:suff w:val="tab"/>
      <w:lvlText w:val="•"/>
      <w:rPr>
        <w:color w:val="3370ff"/>
      </w:rPr>
    </w:lvl>
  </w:abstractNum>
  <w:abstractNum w:abstractNumId="1237731">
    <w:lvl>
      <w:numFmt w:val="bullet"/>
      <w:suff w:val="tab"/>
      <w:lvlText w:val="￮"/>
      <w:rPr>
        <w:color w:val="3370ff"/>
      </w:rPr>
    </w:lvl>
  </w:abstractNum>
  <w:abstractNum w:abstractNumId="1237732">
    <w:lvl>
      <w:numFmt w:val="bullet"/>
      <w:suff w:val="tab"/>
      <w:lvlText w:val="•"/>
      <w:rPr>
        <w:color w:val="3370ff"/>
      </w:rPr>
    </w:lvl>
  </w:abstractNum>
  <w:abstractNum w:abstractNumId="1237733">
    <w:lvl>
      <w:numFmt w:val="bullet"/>
      <w:suff w:val="tab"/>
      <w:lvlText w:val="￮"/>
      <w:rPr>
        <w:color w:val="3370ff"/>
      </w:rPr>
    </w:lvl>
  </w:abstractNum>
  <w:abstractNum w:abstractNumId="1237734">
    <w:lvl>
      <w:numFmt w:val="bullet"/>
      <w:suff w:val="tab"/>
      <w:lvlText w:val="•"/>
      <w:rPr>
        <w:color w:val="3370ff"/>
      </w:rPr>
    </w:lvl>
  </w:abstractNum>
  <w:abstractNum w:abstractNumId="1237735">
    <w:lvl>
      <w:numFmt w:val="bullet"/>
      <w:suff w:val="tab"/>
      <w:lvlText w:val="￮"/>
      <w:rPr>
        <w:color w:val="3370ff"/>
      </w:rPr>
    </w:lvl>
  </w:abstractNum>
  <w:abstractNum w:abstractNumId="1237736">
    <w:lvl>
      <w:numFmt w:val="bullet"/>
      <w:suff w:val="tab"/>
      <w:lvlText w:val="•"/>
      <w:rPr>
        <w:color w:val="3370ff"/>
      </w:rPr>
    </w:lvl>
  </w:abstractNum>
  <w:abstractNum w:abstractNumId="1237737">
    <w:lvl>
      <w:numFmt w:val="bullet"/>
      <w:suff w:val="tab"/>
      <w:lvlText w:val="￮"/>
      <w:rPr>
        <w:color w:val="3370ff"/>
      </w:rPr>
    </w:lvl>
  </w:abstractNum>
  <w:abstractNum w:abstractNumId="1237738">
    <w:lvl>
      <w:numFmt w:val="bullet"/>
      <w:suff w:val="tab"/>
      <w:lvlText w:val="•"/>
      <w:rPr>
        <w:color w:val="3370ff"/>
      </w:rPr>
    </w:lvl>
  </w:abstractNum>
  <w:abstractNum w:abstractNumId="1237739">
    <w:lvl>
      <w:numFmt w:val="bullet"/>
      <w:suff w:val="tab"/>
      <w:lvlText w:val="￮"/>
      <w:rPr>
        <w:color w:val="3370ff"/>
      </w:rPr>
    </w:lvl>
  </w:abstractNum>
  <w:abstractNum w:abstractNumId="1237740">
    <w:lvl>
      <w:numFmt w:val="bullet"/>
      <w:suff w:val="tab"/>
      <w:lvlText w:val="￮"/>
      <w:rPr>
        <w:color w:val="3370ff"/>
      </w:rPr>
    </w:lvl>
  </w:abstractNum>
  <w:abstractNum w:abstractNumId="1237741">
    <w:lvl>
      <w:numFmt w:val="bullet"/>
      <w:suff w:val="tab"/>
      <w:lvlText w:val="•"/>
      <w:rPr>
        <w:color w:val="3370ff"/>
      </w:rPr>
    </w:lvl>
  </w:abstractNum>
  <w:abstractNum w:abstractNumId="1237742">
    <w:lvl>
      <w:numFmt w:val="bullet"/>
      <w:suff w:val="tab"/>
      <w:lvlText w:val="•"/>
      <w:rPr>
        <w:color w:val="3370ff"/>
      </w:rPr>
    </w:lvl>
  </w:abstractNum>
  <w:abstractNum w:abstractNumId="1237743">
    <w:lvl>
      <w:start w:val="3"/>
      <w:numFmt w:val="decimal"/>
      <w:suff w:val="tab"/>
      <w:lvlText w:val="%1."/>
      <w:rPr>
        <w:color w:val="3370ff"/>
      </w:rPr>
    </w:lvl>
  </w:abstractNum>
  <w:abstractNum w:abstractNumId="1237744">
    <w:lvl>
      <w:numFmt w:val="bullet"/>
      <w:suff w:val="tab"/>
      <w:lvlText w:val="•"/>
      <w:rPr>
        <w:color w:val="3370ff"/>
      </w:rPr>
    </w:lvl>
  </w:abstractNum>
  <w:abstractNum w:abstractNumId="1237745">
    <w:lvl>
      <w:numFmt w:val="bullet"/>
      <w:suff w:val="tab"/>
      <w:lvlText w:val="•"/>
      <w:rPr>
        <w:color w:val="3370ff"/>
      </w:rPr>
    </w:lvl>
  </w:abstractNum>
  <w:abstractNum w:abstractNumId="1237746">
    <w:lvl>
      <w:numFmt w:val="bullet"/>
      <w:suff w:val="tab"/>
      <w:lvlText w:val="•"/>
      <w:rPr>
        <w:color w:val="3370ff"/>
      </w:rPr>
    </w:lvl>
  </w:abstractNum>
  <w:abstractNum w:abstractNumId="1237747">
    <w:lvl>
      <w:numFmt w:val="bullet"/>
      <w:suff w:val="tab"/>
      <w:lvlText w:val="•"/>
      <w:rPr>
        <w:color w:val="3370ff"/>
      </w:rPr>
    </w:lvl>
  </w:abstractNum>
  <w:abstractNum w:abstractNumId="1237748">
    <w:lvl>
      <w:numFmt w:val="bullet"/>
      <w:suff w:val="tab"/>
      <w:lvlText w:val="•"/>
      <w:rPr>
        <w:color w:val="3370ff"/>
      </w:rPr>
    </w:lvl>
  </w:abstractNum>
  <w:abstractNum w:abstractNumId="1237749">
    <w:lvl>
      <w:numFmt w:val="bullet"/>
      <w:suff w:val="tab"/>
      <w:lvlText w:val="•"/>
      <w:rPr>
        <w:color w:val="3370ff"/>
      </w:rPr>
    </w:lvl>
  </w:abstractNum>
  <w:abstractNum w:abstractNumId="1237750">
    <w:lvl>
      <w:numFmt w:val="bullet"/>
      <w:suff w:val="tab"/>
      <w:lvlText w:val="•"/>
      <w:rPr>
        <w:color w:val="3370ff"/>
      </w:rPr>
    </w:lvl>
  </w:abstractNum>
  <w:abstractNum w:abstractNumId="1237751">
    <w:lvl>
      <w:numFmt w:val="bullet"/>
      <w:suff w:val="tab"/>
      <w:lvlText w:val="•"/>
      <w:rPr>
        <w:color w:val="3370ff"/>
      </w:rPr>
    </w:lvl>
  </w:abstractNum>
  <w:abstractNum w:abstractNumId="1237752">
    <w:lvl>
      <w:numFmt w:val="bullet"/>
      <w:suff w:val="tab"/>
      <w:lvlText w:val="•"/>
      <w:rPr>
        <w:color w:val="3370ff"/>
      </w:rPr>
    </w:lvl>
  </w:abstractNum>
  <w:abstractNum w:abstractNumId="1237753">
    <w:lvl>
      <w:numFmt w:val="bullet"/>
      <w:suff w:val="tab"/>
      <w:lvlText w:val="•"/>
      <w:rPr>
        <w:color w:val="3370ff"/>
      </w:rPr>
    </w:lvl>
  </w:abstractNum>
  <w:abstractNum w:abstractNumId="1237754">
    <w:lvl>
      <w:numFmt w:val="bullet"/>
      <w:suff w:val="tab"/>
      <w:lvlText w:val="•"/>
      <w:rPr>
        <w:color w:val="3370ff"/>
      </w:rPr>
    </w:lvl>
  </w:abstractNum>
  <w:abstractNum w:abstractNumId="1237755">
    <w:lvl>
      <w:numFmt w:val="bullet"/>
      <w:suff w:val="tab"/>
      <w:lvlText w:val="•"/>
      <w:rPr>
        <w:color w:val="3370ff"/>
      </w:rPr>
    </w:lvl>
  </w:abstractNum>
  <w:abstractNum w:abstractNumId="1237756">
    <w:lvl>
      <w:numFmt w:val="bullet"/>
      <w:suff w:val="tab"/>
      <w:lvlText w:val="•"/>
      <w:rPr>
        <w:color w:val="3370ff"/>
      </w:rPr>
    </w:lvl>
  </w:abstractNum>
  <w:abstractNum w:abstractNumId="1237757">
    <w:lvl>
      <w:numFmt w:val="bullet"/>
      <w:suff w:val="tab"/>
      <w:lvlText w:val="•"/>
      <w:rPr>
        <w:color w:val="3370ff"/>
      </w:rPr>
    </w:lvl>
  </w:abstractNum>
  <w:abstractNum w:abstractNumId="1237758">
    <w:lvl>
      <w:numFmt w:val="bullet"/>
      <w:suff w:val="tab"/>
      <w:lvlText w:val="•"/>
      <w:rPr>
        <w:color w:val="3370ff"/>
      </w:rPr>
    </w:lvl>
  </w:abstractNum>
  <w:abstractNum w:abstractNumId="1237759">
    <w:lvl>
      <w:numFmt w:val="bullet"/>
      <w:suff w:val="tab"/>
      <w:lvlText w:val="•"/>
      <w:rPr>
        <w:color w:val="3370ff"/>
      </w:rPr>
    </w:lvl>
  </w:abstractNum>
  <w:abstractNum w:abstractNumId="1237760">
    <w:lvl>
      <w:numFmt w:val="bullet"/>
      <w:suff w:val="tab"/>
      <w:lvlText w:val="•"/>
      <w:rPr>
        <w:color w:val="3370ff"/>
      </w:rPr>
    </w:lvl>
  </w:abstractNum>
  <w:abstractNum w:abstractNumId="1237761">
    <w:lvl>
      <w:numFmt w:val="bullet"/>
      <w:suff w:val="tab"/>
      <w:lvlText w:val="•"/>
      <w:rPr>
        <w:color w:val="3370ff"/>
      </w:rPr>
    </w:lvl>
  </w:abstractNum>
  <w:abstractNum w:abstractNumId="1237762">
    <w:lvl>
      <w:numFmt w:val="bullet"/>
      <w:suff w:val="tab"/>
      <w:lvlText w:val="•"/>
      <w:rPr>
        <w:color w:val="3370ff"/>
      </w:rPr>
    </w:lvl>
  </w:abstractNum>
  <w:abstractNum w:abstractNumId="1237763">
    <w:lvl>
      <w:numFmt w:val="bullet"/>
      <w:suff w:val="tab"/>
      <w:lvlText w:val="•"/>
      <w:rPr>
        <w:color w:val="3370ff"/>
      </w:rPr>
    </w:lvl>
  </w:abstractNum>
  <w:abstractNum w:abstractNumId="1237764">
    <w:lvl>
      <w:start w:val="4"/>
      <w:numFmt w:val="decimal"/>
      <w:suff w:val="tab"/>
      <w:lvlText w:val="%1."/>
      <w:rPr>
        <w:color w:val="3370ff"/>
      </w:rPr>
    </w:lvl>
  </w:abstractNum>
  <w:abstractNum w:abstractNumId="1237765">
    <w:lvl>
      <w:numFmt w:val="bullet"/>
      <w:suff w:val="tab"/>
      <w:lvlText w:val="•"/>
      <w:rPr>
        <w:color w:val="3370ff"/>
      </w:rPr>
    </w:lvl>
  </w:abstractNum>
  <w:abstractNum w:abstractNumId="1237766">
    <w:lvl>
      <w:numFmt w:val="bullet"/>
      <w:suff w:val="tab"/>
      <w:lvlText w:val="•"/>
      <w:rPr>
        <w:color w:val="3370ff"/>
      </w:rPr>
    </w:lvl>
  </w:abstractNum>
  <w:abstractNum w:abstractNumId="1237767">
    <w:lvl>
      <w:numFmt w:val="bullet"/>
      <w:suff w:val="tab"/>
      <w:lvlText w:val="•"/>
      <w:rPr>
        <w:color w:val="3370ff"/>
      </w:rPr>
    </w:lvl>
  </w:abstractNum>
  <w:abstractNum w:abstractNumId="1237768">
    <w:lvl>
      <w:numFmt w:val="bullet"/>
      <w:suff w:val="tab"/>
      <w:lvlText w:val="•"/>
      <w:rPr>
        <w:color w:val="3370ff"/>
      </w:rPr>
    </w:lvl>
  </w:abstractNum>
  <w:abstractNum w:abstractNumId="1237769">
    <w:lvl>
      <w:numFmt w:val="bullet"/>
      <w:suff w:val="tab"/>
      <w:lvlText w:val="•"/>
      <w:rPr>
        <w:color w:val="3370ff"/>
      </w:rPr>
    </w:lvl>
  </w:abstractNum>
  <w:abstractNum w:abstractNumId="1237770">
    <w:lvl>
      <w:numFmt w:val="bullet"/>
      <w:suff w:val="tab"/>
      <w:lvlText w:val="•"/>
      <w:rPr>
        <w:color w:val="3370ff"/>
      </w:rPr>
    </w:lvl>
  </w:abstractNum>
  <w:abstractNum w:abstractNumId="1237771">
    <w:lvl>
      <w:numFmt w:val="bullet"/>
      <w:suff w:val="tab"/>
      <w:lvlText w:val="•"/>
      <w:rPr>
        <w:color w:val="3370ff"/>
      </w:rPr>
    </w:lvl>
  </w:abstractNum>
  <w:abstractNum w:abstractNumId="1237772">
    <w:lvl>
      <w:numFmt w:val="bullet"/>
      <w:suff w:val="tab"/>
      <w:lvlText w:val="•"/>
      <w:rPr>
        <w:color w:val="3370ff"/>
      </w:rPr>
    </w:lvl>
  </w:abstractNum>
  <w:abstractNum w:abstractNumId="1237773">
    <w:lvl>
      <w:numFmt w:val="bullet"/>
      <w:suff w:val="tab"/>
      <w:lvlText w:val="•"/>
      <w:rPr>
        <w:color w:val="3370ff"/>
      </w:rPr>
    </w:lvl>
  </w:abstractNum>
  <w:abstractNum w:abstractNumId="1237774">
    <w:lvl>
      <w:numFmt w:val="bullet"/>
      <w:suff w:val="tab"/>
      <w:lvlText w:val="•"/>
      <w:rPr>
        <w:color w:val="3370ff"/>
      </w:rPr>
    </w:lvl>
  </w:abstractNum>
  <w:abstractNum w:abstractNumId="1237775">
    <w:lvl>
      <w:numFmt w:val="bullet"/>
      <w:suff w:val="tab"/>
      <w:lvlText w:val="•"/>
      <w:rPr>
        <w:color w:val="3370ff"/>
      </w:rPr>
    </w:lvl>
  </w:abstractNum>
  <w:abstractNum w:abstractNumId="1237776">
    <w:lvl>
      <w:numFmt w:val="bullet"/>
      <w:suff w:val="tab"/>
      <w:lvlText w:val="•"/>
      <w:rPr>
        <w:color w:val="3370ff"/>
      </w:rPr>
    </w:lvl>
  </w:abstractNum>
  <w:abstractNum w:abstractNumId="1237777">
    <w:lvl>
      <w:start w:val="1"/>
      <w:numFmt w:val="decimal"/>
      <w:suff w:val="tab"/>
      <w:lvlText w:val="%1."/>
      <w:rPr>
        <w:color w:val="3370ff"/>
      </w:rPr>
    </w:lvl>
  </w:abstractNum>
  <w:abstractNum w:abstractNumId="1237778">
    <w:lvl>
      <w:start w:val="2"/>
      <w:numFmt w:val="decimal"/>
      <w:suff w:val="tab"/>
      <w:lvlText w:val="%1."/>
      <w:rPr>
        <w:color w:val="3370ff"/>
      </w:rPr>
    </w:lvl>
  </w:abstractNum>
  <w:abstractNum w:abstractNumId="1237779">
    <w:lvl>
      <w:start w:val="1"/>
      <w:numFmt w:val="decimal"/>
      <w:suff w:val="tab"/>
      <w:lvlText w:val="%1."/>
      <w:rPr>
        <w:color w:val="3370ff"/>
      </w:rPr>
    </w:lvl>
  </w:abstractNum>
  <w:abstractNum w:abstractNumId="1237780">
    <w:lvl>
      <w:start w:val="2"/>
      <w:numFmt w:val="decimal"/>
      <w:suff w:val="tab"/>
      <w:lvlText w:val="%1."/>
      <w:rPr>
        <w:color w:val="3370ff"/>
      </w:rPr>
    </w:lvl>
  </w:abstractNum>
  <w:abstractNum w:abstractNumId="1237781">
    <w:lvl>
      <w:start w:val="3"/>
      <w:numFmt w:val="decimal"/>
      <w:suff w:val="tab"/>
      <w:lvlText w:val="%1."/>
      <w:rPr>
        <w:color w:val="3370ff"/>
      </w:rPr>
    </w:lvl>
  </w:abstractNum>
  <w:abstractNum w:abstractNumId="1237782">
    <w:lvl>
      <w:start w:val="1"/>
      <w:numFmt w:val="decimal"/>
      <w:suff w:val="tab"/>
      <w:lvlText w:val="%1."/>
      <w:rPr>
        <w:color w:val="3370ff"/>
      </w:rPr>
    </w:lvl>
  </w:abstractNum>
  <w:abstractNum w:abstractNumId="1237783">
    <w:lvl>
      <w:start w:val="1"/>
      <w:numFmt w:val="decimal"/>
      <w:suff w:val="tab"/>
      <w:lvlText w:val="%1."/>
      <w:rPr>
        <w:color w:val="3370ff"/>
      </w:rPr>
    </w:lvl>
  </w:abstractNum>
  <w:abstractNum w:abstractNumId="1237784">
    <w:lvl>
      <w:numFmt w:val="bullet"/>
      <w:suff w:val="tab"/>
      <w:lvlText w:val="•"/>
      <w:rPr>
        <w:color w:val="3370ff"/>
      </w:rPr>
    </w:lvl>
  </w:abstractNum>
  <w:abstractNum w:abstractNumId="1237785">
    <w:lvl>
      <w:numFmt w:val="bullet"/>
      <w:suff w:val="tab"/>
      <w:lvlText w:val="￮"/>
      <w:rPr>
        <w:color w:val="3370ff"/>
      </w:rPr>
    </w:lvl>
  </w:abstractNum>
  <w:abstractNum w:abstractNumId="1237786">
    <w:lvl>
      <w:numFmt w:val="bullet"/>
      <w:suff w:val="tab"/>
      <w:lvlText w:val="￮"/>
      <w:rPr>
        <w:color w:val="3370ff"/>
      </w:rPr>
    </w:lvl>
  </w:abstractNum>
  <w:abstractNum w:abstractNumId="1237787">
    <w:lvl>
      <w:numFmt w:val="bullet"/>
      <w:suff w:val="tab"/>
      <w:lvlText w:val="￮"/>
      <w:rPr>
        <w:color w:val="3370ff"/>
      </w:rPr>
    </w:lvl>
  </w:abstractNum>
  <w:abstractNum w:abstractNumId="1237788">
    <w:lvl>
      <w:numFmt w:val="bullet"/>
      <w:suff w:val="tab"/>
      <w:lvlText w:val="•"/>
      <w:rPr>
        <w:color w:val="3370ff"/>
      </w:rPr>
    </w:lvl>
  </w:abstractNum>
  <w:abstractNum w:abstractNumId="1237789">
    <w:lvl>
      <w:numFmt w:val="bullet"/>
      <w:suff w:val="tab"/>
      <w:lvlText w:val="￮"/>
      <w:rPr>
        <w:color w:val="3370ff"/>
      </w:rPr>
    </w:lvl>
  </w:abstractNum>
  <w:abstractNum w:abstractNumId="1237790">
    <w:lvl>
      <w:numFmt w:val="bullet"/>
      <w:suff w:val="tab"/>
      <w:lvlText w:val="•"/>
      <w:rPr>
        <w:color w:val="3370ff"/>
      </w:rPr>
    </w:lvl>
  </w:abstractNum>
  <w:abstractNum w:abstractNumId="1237791">
    <w:lvl>
      <w:numFmt w:val="bullet"/>
      <w:suff w:val="tab"/>
      <w:lvlText w:val="￮"/>
      <w:rPr>
        <w:color w:val="3370ff"/>
      </w:rPr>
    </w:lvl>
  </w:abstractNum>
  <w:abstractNum w:abstractNumId="1237792">
    <w:lvl>
      <w:start w:val="2"/>
      <w:numFmt w:val="decimal"/>
      <w:suff w:val="tab"/>
      <w:lvlText w:val="%1."/>
      <w:rPr>
        <w:color w:val="3370ff"/>
      </w:rPr>
    </w:lvl>
  </w:abstractNum>
  <w:abstractNum w:abstractNumId="1237793">
    <w:lvl>
      <w:numFmt w:val="bullet"/>
      <w:suff w:val="tab"/>
      <w:lvlText w:val="•"/>
      <w:rPr>
        <w:color w:val="3370ff"/>
      </w:rPr>
    </w:lvl>
  </w:abstractNum>
  <w:abstractNum w:abstractNumId="1237794">
    <w:lvl>
      <w:numFmt w:val="bullet"/>
      <w:suff w:val="tab"/>
      <w:lvlText w:val="￮"/>
      <w:rPr>
        <w:color w:val="3370ff"/>
      </w:rPr>
    </w:lvl>
  </w:abstractNum>
  <w:abstractNum w:abstractNumId="1237795">
    <w:lvl>
      <w:numFmt w:val="bullet"/>
      <w:suff w:val="tab"/>
      <w:lvlText w:val="￮"/>
      <w:rPr>
        <w:color w:val="3370ff"/>
      </w:rPr>
    </w:lvl>
  </w:abstractNum>
  <w:abstractNum w:abstractNumId="1237796">
    <w:lvl>
      <w:numFmt w:val="bullet"/>
      <w:suff w:val="tab"/>
      <w:lvlText w:val="•"/>
      <w:rPr>
        <w:color w:val="3370ff"/>
      </w:rPr>
    </w:lvl>
  </w:abstractNum>
  <w:abstractNum w:abstractNumId="1237797">
    <w:lvl>
      <w:numFmt w:val="bullet"/>
      <w:suff w:val="tab"/>
      <w:lvlText w:val="￮"/>
      <w:rPr>
        <w:color w:val="3370ff"/>
      </w:rPr>
    </w:lvl>
  </w:abstractNum>
  <w:abstractNum w:abstractNumId="1237798">
    <w:lvl>
      <w:numFmt w:val="bullet"/>
      <w:suff w:val="tab"/>
      <w:lvlText w:val="•"/>
      <w:rPr>
        <w:color w:val="3370ff"/>
      </w:rPr>
    </w:lvl>
  </w:abstractNum>
  <w:abstractNum w:abstractNumId="1237799">
    <w:lvl>
      <w:start w:val="3"/>
      <w:numFmt w:val="decimal"/>
      <w:suff w:val="tab"/>
      <w:lvlText w:val="%1."/>
      <w:rPr>
        <w:color w:val="3370ff"/>
      </w:rPr>
    </w:lvl>
  </w:abstractNum>
  <w:abstractNum w:abstractNumId="1237800">
    <w:lvl>
      <w:start w:val="1"/>
      <w:numFmt w:val="lowerLetter"/>
      <w:suff w:val="tab"/>
      <w:lvlText w:val="%1."/>
      <w:rPr>
        <w:color w:val="3370ff"/>
      </w:rPr>
    </w:lvl>
  </w:abstractNum>
  <w:abstractNum w:abstractNumId="1237801">
    <w:lvl>
      <w:start w:val="2"/>
      <w:numFmt w:val="lowerLetter"/>
      <w:suff w:val="tab"/>
      <w:lvlText w:val="%1."/>
      <w:rPr>
        <w:color w:val="3370ff"/>
      </w:rPr>
    </w:lvl>
  </w:abstractNum>
  <w:abstractNum w:abstractNumId="1237802">
    <w:lvl>
      <w:start w:val="4"/>
      <w:numFmt w:val="decimal"/>
      <w:suff w:val="tab"/>
      <w:lvlText w:val="%1."/>
      <w:rPr>
        <w:color w:val="3370ff"/>
      </w:rPr>
    </w:lvl>
  </w:abstractNum>
  <w:abstractNum w:abstractNumId="1237803">
    <w:lvl>
      <w:numFmt w:val="bullet"/>
      <w:suff w:val="tab"/>
      <w:lvlText w:val="•"/>
      <w:rPr>
        <w:color w:val="3370ff"/>
      </w:rPr>
    </w:lvl>
  </w:abstractNum>
  <w:num w:numId="1">
    <w:abstractNumId w:val="1237703"/>
  </w:num>
  <w:num w:numId="2">
    <w:abstractNumId w:val="1237704"/>
  </w:num>
  <w:num w:numId="3">
    <w:abstractNumId w:val="1237705"/>
  </w:num>
  <w:num w:numId="4">
    <w:abstractNumId w:val="1237706"/>
  </w:num>
  <w:num w:numId="5">
    <w:abstractNumId w:val="1237707"/>
  </w:num>
  <w:num w:numId="6">
    <w:abstractNumId w:val="1237708"/>
  </w:num>
  <w:num w:numId="7">
    <w:abstractNumId w:val="1237709"/>
  </w:num>
  <w:num w:numId="8">
    <w:abstractNumId w:val="1237710"/>
  </w:num>
  <w:num w:numId="9">
    <w:abstractNumId w:val="1237711"/>
  </w:num>
  <w:num w:numId="10">
    <w:abstractNumId w:val="1237712"/>
  </w:num>
  <w:num w:numId="11">
    <w:abstractNumId w:val="1237713"/>
  </w:num>
  <w:num w:numId="12">
    <w:abstractNumId w:val="1237714"/>
  </w:num>
  <w:num w:numId="13">
    <w:abstractNumId w:val="1237715"/>
  </w:num>
  <w:num w:numId="14">
    <w:abstractNumId w:val="1237716"/>
  </w:num>
  <w:num w:numId="15">
    <w:abstractNumId w:val="1237717"/>
  </w:num>
  <w:num w:numId="16">
    <w:abstractNumId w:val="1237718"/>
  </w:num>
  <w:num w:numId="17">
    <w:abstractNumId w:val="1237719"/>
  </w:num>
  <w:num w:numId="18">
    <w:abstractNumId w:val="1237720"/>
  </w:num>
  <w:num w:numId="19">
    <w:abstractNumId w:val="1237721"/>
  </w:num>
  <w:num w:numId="20">
    <w:abstractNumId w:val="1237722"/>
  </w:num>
  <w:num w:numId="21">
    <w:abstractNumId w:val="1237723"/>
  </w:num>
  <w:num w:numId="22">
    <w:abstractNumId w:val="1237724"/>
  </w:num>
  <w:num w:numId="23">
    <w:abstractNumId w:val="1237725"/>
  </w:num>
  <w:num w:numId="24">
    <w:abstractNumId w:val="1237726"/>
  </w:num>
  <w:num w:numId="25">
    <w:abstractNumId w:val="1237727"/>
  </w:num>
  <w:num w:numId="26">
    <w:abstractNumId w:val="1237728"/>
  </w:num>
  <w:num w:numId="27">
    <w:abstractNumId w:val="1237729"/>
  </w:num>
  <w:num w:numId="28">
    <w:abstractNumId w:val="1237730"/>
  </w:num>
  <w:num w:numId="29">
    <w:abstractNumId w:val="1237731"/>
  </w:num>
  <w:num w:numId="30">
    <w:abstractNumId w:val="1237732"/>
  </w:num>
  <w:num w:numId="31">
    <w:abstractNumId w:val="1237733"/>
  </w:num>
  <w:num w:numId="32">
    <w:abstractNumId w:val="1237734"/>
  </w:num>
  <w:num w:numId="33">
    <w:abstractNumId w:val="1237735"/>
  </w:num>
  <w:num w:numId="34">
    <w:abstractNumId w:val="1237736"/>
  </w:num>
  <w:num w:numId="35">
    <w:abstractNumId w:val="1237737"/>
  </w:num>
  <w:num w:numId="36">
    <w:abstractNumId w:val="1237738"/>
  </w:num>
  <w:num w:numId="37">
    <w:abstractNumId w:val="1237739"/>
  </w:num>
  <w:num w:numId="38">
    <w:abstractNumId w:val="1237740"/>
  </w:num>
  <w:num w:numId="39">
    <w:abstractNumId w:val="1237741"/>
  </w:num>
  <w:num w:numId="40">
    <w:abstractNumId w:val="1237742"/>
  </w:num>
  <w:num w:numId="41">
    <w:abstractNumId w:val="1237743"/>
  </w:num>
  <w:num w:numId="42">
    <w:abstractNumId w:val="1237744"/>
  </w:num>
  <w:num w:numId="43">
    <w:abstractNumId w:val="1237745"/>
  </w:num>
  <w:num w:numId="44">
    <w:abstractNumId w:val="1237746"/>
  </w:num>
  <w:num w:numId="45">
    <w:abstractNumId w:val="1237747"/>
  </w:num>
  <w:num w:numId="46">
    <w:abstractNumId w:val="1237748"/>
  </w:num>
  <w:num w:numId="47">
    <w:abstractNumId w:val="1237749"/>
  </w:num>
  <w:num w:numId="48">
    <w:abstractNumId w:val="1237750"/>
  </w:num>
  <w:num w:numId="49">
    <w:abstractNumId w:val="1237751"/>
  </w:num>
  <w:num w:numId="50">
    <w:abstractNumId w:val="1237752"/>
  </w:num>
  <w:num w:numId="51">
    <w:abstractNumId w:val="1237753"/>
  </w:num>
  <w:num w:numId="52">
    <w:abstractNumId w:val="1237754"/>
  </w:num>
  <w:num w:numId="53">
    <w:abstractNumId w:val="1237755"/>
  </w:num>
  <w:num w:numId="54">
    <w:abstractNumId w:val="1237756"/>
  </w:num>
  <w:num w:numId="55">
    <w:abstractNumId w:val="1237757"/>
  </w:num>
  <w:num w:numId="56">
    <w:abstractNumId w:val="1237758"/>
  </w:num>
  <w:num w:numId="57">
    <w:abstractNumId w:val="1237759"/>
  </w:num>
  <w:num w:numId="58">
    <w:abstractNumId w:val="1237760"/>
  </w:num>
  <w:num w:numId="59">
    <w:abstractNumId w:val="1237761"/>
  </w:num>
  <w:num w:numId="60">
    <w:abstractNumId w:val="1237762"/>
  </w:num>
  <w:num w:numId="61">
    <w:abstractNumId w:val="1237763"/>
  </w:num>
  <w:num w:numId="62">
    <w:abstractNumId w:val="1237764"/>
  </w:num>
  <w:num w:numId="63">
    <w:abstractNumId w:val="1237765"/>
  </w:num>
  <w:num w:numId="64">
    <w:abstractNumId w:val="1237766"/>
  </w:num>
  <w:num w:numId="65">
    <w:abstractNumId w:val="1237767"/>
  </w:num>
  <w:num w:numId="66">
    <w:abstractNumId w:val="1237768"/>
  </w:num>
  <w:num w:numId="67">
    <w:abstractNumId w:val="1237769"/>
  </w:num>
  <w:num w:numId="68">
    <w:abstractNumId w:val="1237770"/>
  </w:num>
  <w:num w:numId="69">
    <w:abstractNumId w:val="1237771"/>
  </w:num>
  <w:num w:numId="70">
    <w:abstractNumId w:val="1237772"/>
  </w:num>
  <w:num w:numId="71">
    <w:abstractNumId w:val="1237773"/>
  </w:num>
  <w:num w:numId="72">
    <w:abstractNumId w:val="1237774"/>
  </w:num>
  <w:num w:numId="73">
    <w:abstractNumId w:val="1237775"/>
  </w:num>
  <w:num w:numId="74">
    <w:abstractNumId w:val="1237776"/>
  </w:num>
  <w:num w:numId="75">
    <w:abstractNumId w:val="1237777"/>
  </w:num>
  <w:num w:numId="76">
    <w:abstractNumId w:val="1237778"/>
  </w:num>
  <w:num w:numId="77">
    <w:abstractNumId w:val="1237779"/>
  </w:num>
  <w:num w:numId="78">
    <w:abstractNumId w:val="1237780"/>
  </w:num>
  <w:num w:numId="79">
    <w:abstractNumId w:val="1237781"/>
  </w:num>
  <w:num w:numId="80">
    <w:abstractNumId w:val="1237782"/>
  </w:num>
  <w:num w:numId="81">
    <w:abstractNumId w:val="1237783"/>
  </w:num>
  <w:num w:numId="82">
    <w:abstractNumId w:val="1237784"/>
  </w:num>
  <w:num w:numId="83">
    <w:abstractNumId w:val="1237785"/>
  </w:num>
  <w:num w:numId="84">
    <w:abstractNumId w:val="1237786"/>
  </w:num>
  <w:num w:numId="85">
    <w:abstractNumId w:val="1237787"/>
  </w:num>
  <w:num w:numId="86">
    <w:abstractNumId w:val="1237788"/>
  </w:num>
  <w:num w:numId="87">
    <w:abstractNumId w:val="1237789"/>
  </w:num>
  <w:num w:numId="88">
    <w:abstractNumId w:val="1237790"/>
  </w:num>
  <w:num w:numId="89">
    <w:abstractNumId w:val="1237791"/>
  </w:num>
  <w:num w:numId="90">
    <w:abstractNumId w:val="1237792"/>
  </w:num>
  <w:num w:numId="91">
    <w:abstractNumId w:val="1237793"/>
  </w:num>
  <w:num w:numId="92">
    <w:abstractNumId w:val="1237794"/>
  </w:num>
  <w:num w:numId="93">
    <w:abstractNumId w:val="1237795"/>
  </w:num>
  <w:num w:numId="94">
    <w:abstractNumId w:val="1237796"/>
  </w:num>
  <w:num w:numId="95">
    <w:abstractNumId w:val="1237797"/>
  </w:num>
  <w:num w:numId="96">
    <w:abstractNumId w:val="1237798"/>
  </w:num>
  <w:num w:numId="97">
    <w:abstractNumId w:val="1237799"/>
  </w:num>
  <w:num w:numId="98">
    <w:abstractNumId w:val="1237800"/>
  </w:num>
  <w:num w:numId="99">
    <w:abstractNumId w:val="1237801"/>
  </w:num>
  <w:num w:numId="100">
    <w:abstractNumId w:val="1237802"/>
  </w:num>
  <w:num w:numId="101">
    <w:abstractNumId w:val="123780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5.png" Type="http://schemas.openxmlformats.org/officeDocument/2006/relationships/image"/><Relationship Id="rId11" Target="media/image6.png" Type="http://schemas.openxmlformats.org/officeDocument/2006/relationships/image"/><Relationship Id="rId12" Target="media/image7.jpe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embeddings/Microsoft_Excel_Worksheet1.xlsx" Type="http://schemas.openxmlformats.org/officeDocument/2006/relationships/package"/><Relationship Id="rId17" Target="media/image11.png" Type="http://schemas.openxmlformats.org/officeDocument/2006/relationships/image"/><Relationship Id="rId18" Target="embeddings/Microsoft_Excel_Worksheet2.xlsx" Type="http://schemas.openxmlformats.org/officeDocument/2006/relationships/package"/><Relationship Id="rId19" Target="media/image12.png" Type="http://schemas.openxmlformats.org/officeDocument/2006/relationships/image"/><Relationship Id="rId2" Target="styles.xml" Type="http://schemas.openxmlformats.org/officeDocument/2006/relationships/styles"/><Relationship Id="rId20" Target="embeddings/Microsoft_Excel_Worksheet3.xlsx" Type="http://schemas.openxmlformats.org/officeDocument/2006/relationships/package"/><Relationship Id="rId21" Target="media/image13.png" Type="http://schemas.openxmlformats.org/officeDocument/2006/relationships/image"/><Relationship Id="rId22" Target="embeddings/Microsoft_Excel_Worksheet4.xlsx" Type="http://schemas.openxmlformats.org/officeDocument/2006/relationships/package"/><Relationship Id="rId23" Target="media/image14.png" Type="http://schemas.openxmlformats.org/officeDocument/2006/relationships/image"/><Relationship Id="rId24" Target="media/image15.jpeg" Type="http://schemas.openxmlformats.org/officeDocument/2006/relationships/image"/><Relationship Id="rId25" Target="embeddings/Microsoft_Excel_Worksheet5.xlsx" Type="http://schemas.openxmlformats.org/officeDocument/2006/relationships/package"/><Relationship Id="rId26" Target="media/image16.png" Type="http://schemas.openxmlformats.org/officeDocument/2006/relationships/image"/><Relationship Id="rId27" Target="embeddings/Microsoft_Excel_Worksheet6.xlsx" Type="http://schemas.openxmlformats.org/officeDocument/2006/relationships/package"/><Relationship Id="rId28" Target="media/image17.png" Type="http://schemas.openxmlformats.org/officeDocument/2006/relationships/image"/><Relationship Id="rId29" Target="media/image18.png" Type="http://schemas.openxmlformats.org/officeDocument/2006/relationships/image"/><Relationship Id="rId3" Target="footer1.xml" Type="http://schemas.openxmlformats.org/officeDocument/2006/relationships/footer"/><Relationship Id="rId30" Target="embeddings/Microsoft_Excel_Worksheet7.xlsx" Type="http://schemas.openxmlformats.org/officeDocument/2006/relationships/package"/><Relationship Id="rId31" Target="media/image19.png" Type="http://schemas.openxmlformats.org/officeDocument/2006/relationships/image"/><Relationship Id="rId32" Target="embeddings/Microsoft_Excel_Worksheet8.xlsx" Type="http://schemas.openxmlformats.org/officeDocument/2006/relationships/package"/><Relationship Id="rId33" Target="media/image20.png" Type="http://schemas.openxmlformats.org/officeDocument/2006/relationships/image"/><Relationship Id="rId34" Target="embeddings/Microsoft_Excel_Worksheet9.xlsx" Type="http://schemas.openxmlformats.org/officeDocument/2006/relationships/package"/><Relationship Id="rId35" Target="media/image21.png" Type="http://schemas.openxmlformats.org/officeDocument/2006/relationships/image"/><Relationship Id="rId36" Target="embeddings/Microsoft_Excel_Worksheet10.xlsx" Type="http://schemas.openxmlformats.org/officeDocument/2006/relationships/package"/><Relationship Id="rId37" Target="media/image22.png" Type="http://schemas.openxmlformats.org/officeDocument/2006/relationships/image"/><Relationship Id="rId38" Target="media/image23.jpeg" Type="http://schemas.openxmlformats.org/officeDocument/2006/relationships/image"/><Relationship Id="rId39" Target="media/image24.png" Type="http://schemas.openxmlformats.org/officeDocument/2006/relationships/image"/><Relationship Id="rId4" Target="media/image1.png" Type="http://schemas.openxmlformats.org/officeDocument/2006/relationships/image"/><Relationship Id="rId40" Target="media/image25.jpeg" Type="http://schemas.openxmlformats.org/officeDocument/2006/relationships/image"/><Relationship Id="rId41" Target="media/image26.png" Type="http://schemas.openxmlformats.org/officeDocument/2006/relationships/image"/><Relationship Id="rId42" Target="header1.xml" Type="http://schemas.openxmlformats.org/officeDocument/2006/relationships/header"/><Relationship Id="rId5" Target="media/image2.png" Type="http://schemas.openxmlformats.org/officeDocument/2006/relationships/image"/><Relationship Id="rId6" Target="https://ruijie.feishu.cn/docx/DfAhd0wIxo6sFAxKAUDcrFJgnJP" TargetMode="External" Type="http://schemas.openxmlformats.org/officeDocument/2006/relationships/hyperlink"/><Relationship Id="rId7" Target="media/image3.jpeg" Type="http://schemas.openxmlformats.org/officeDocument/2006/relationships/image"/><Relationship Id="rId8" Target="media/image4.jpeg" Type="http://schemas.openxmlformats.org/officeDocument/2006/relationships/image"/><Relationship Id="rId9" Target="numbering.xml" Type="http://schemas.openxmlformats.org/officeDocument/2006/relationships/numbering"/></Relationships>
</file>

<file path=word/_rels/header1.xml.rels><?xml version="1.0" encoding="UTF-8" standalone="yes"?><Relationships xmlns="http://schemas.openxmlformats.org/package/2006/relationships"><Relationship Id="rId1" Target="media/image27.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2025-11-07T05:19:58Z</dcterms:created>
  <dc:creator>Apache POI</dc:creator>
</cp:coreProperties>
</file>