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MO流程执行情况分析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 年是 MO 流程从 0 到 1 搭建、发布并推广落地的关键一年。在流程项目组 PO 们的全力支持下，MO 流程成功发布 V1.0 版本，同步设计了配套业务机制保障流程落地执行；同时，为强化流程遵从度，已将关键 KCP/KDP 节点及相关业务规则在 CRM 系统中完成固化落地。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进一步推动流程高效执行，我们对现有报表及看板开展数据呈现与深度分析，通过数据精准定位问题并输出建设性优化方案。本次分析涉及几类核心报表：一是总体报表，覆盖所有立项商机推进全生命周期，包含活动中及已结项项目；二是活动中项目报表，聚焦漏斗内活动状态项目的推进动态，重点统计关键 KCP/KDP 节点的执行留痕数据；三是异常商机盘点报表，主要对商机审查中发现异常的项目进行核查和处理。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以下将针对截止 11 月中旬的几类报表展开具体数据呈现与分析。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一，项目汇总报表：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红色为不达标需要关注的；绿色为做的好的；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数据洞察</w:t>
            </w:r>
            <w:r>
              <w:rPr>
                <w:rFonts w:eastAsia="等线" w:ascii="Arial" w:cs="Arial" w:hAnsi="Arial"/>
                <w:sz w:val="22"/>
              </w:rPr>
              <w:t>：阐述现象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流程落地成效初显：MO 流程 V1.0 版本及配套业务机制已落地，关键 KCP/KDP 节点与业务规则通过 CRM 系统固化，实现执行留痕可追溯，为数据化管理奠定基础。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项目推进数据分层清晰：总体报表覆盖立项商机全生命周期，活动中项目报表聚焦漏斗内动态项目，两类数据互补，既呈现全局推进态势，又突出关键节点执行细节。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赢单？结项？漏斗抖动 等等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分析结论：</w:t>
            </w:r>
            <w:r>
              <w:rPr>
                <w:rFonts w:eastAsia="等线" w:ascii="Arial" w:cs="Arial" w:hAnsi="Arial"/>
                <w:sz w:val="22"/>
              </w:rPr>
              <w:t>分析根因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流程执行率及遵从度有待提升：虽已完成系统固化，但从节点执行留痕数据来看，部分活动中项目存在 KCP/KDP 节点推进滞后、规则执行不到位的情况，反映出流程落地的深度和一致性不足。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区域之间数据差异明显，说明流程的宣贯和落地存在进一步提升空间。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建议与举措：</w:t>
            </w:r>
            <w:r>
              <w:rPr>
                <w:rFonts w:eastAsia="等线" w:ascii="Arial" w:cs="Arial" w:hAnsi="Arial"/>
                <w:sz w:val="22"/>
              </w:rPr>
              <w:t>给出建议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重点帮扶，做的好的给做的不好的进行经验分享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加强宣贯</w:t>
            </w:r>
            <w:r>
              <w:rPr>
                <w:rFonts w:eastAsia="等线" w:ascii="Arial" w:cs="Arial" w:hAnsi="Arial"/>
                <w:sz w:val="22"/>
              </w:rPr>
              <w:t>，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建立考核与审查机制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系统增强等等。。。增加合并分析报表，看板等等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二、漏斗内活动中项目报表：</w:t>
      </w:r>
      <w:bookmarkEnd w:id="1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数据洞察：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分析结论：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建议与举措：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三、商机真实性盘点报表：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1.异常商机盘点</w:t>
      </w:r>
      <w:bookmarkEnd w:id="3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异常商机盘点范围：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漏斗内30W+且满足下面任一条件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预计下单日期在90天内且</w:t>
            </w:r>
            <w:r>
              <w:rPr>
                <w:rFonts w:eastAsia="等线" w:ascii="Arial" w:cs="Arial" w:hAnsi="Arial"/>
                <w:sz w:val="22"/>
                <w:u w:val="single"/>
              </w:rPr>
              <w:t>客户和项目</w:t>
            </w:r>
            <w:r>
              <w:rPr>
                <w:rFonts w:eastAsia="等线" w:ascii="Arial" w:cs="Arial" w:hAnsi="Arial"/>
                <w:sz w:val="22"/>
              </w:rPr>
              <w:t>下近30天内无跟进记录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预计下单日期在90天外且</w:t>
            </w:r>
            <w:r>
              <w:rPr>
                <w:rFonts w:eastAsia="等线" w:ascii="Arial" w:cs="Arial" w:hAnsi="Arial"/>
                <w:sz w:val="22"/>
                <w:u w:val="single"/>
              </w:rPr>
              <w:t>客户和项目</w:t>
            </w:r>
            <w:r>
              <w:rPr>
                <w:rFonts w:eastAsia="等线" w:ascii="Arial" w:cs="Arial" w:hAnsi="Arial"/>
                <w:sz w:val="22"/>
              </w:rPr>
              <w:t>下近60天内无跟进记录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当月开标当月下单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2.漏斗内跨年后延的管理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EBG近三年的后延变化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</w:pPr>
      <w:r>
        <w:object>
          <v:shape id="_x0000_i1027" style="width:414pt;height:77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部门整体25年8月、9月跨年后延占比较23、24年均有明显改善，但临近年末后延占比指标仍有上升趋势， 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11月12月需采取措施加强干预。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10月系统部和区域后延控制的怎么样？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二级部门：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企业系统部、南区平台、北区平台</w:t>
            </w:r>
            <w:r>
              <w:rPr>
                <w:rFonts w:eastAsia="等线" w:ascii="Arial" w:cs="Arial" w:hAnsi="Arial"/>
                <w:sz w:val="22"/>
              </w:rPr>
              <w:t>，后延占比高于EBG整体水平，需要重点关注。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5" o:title=""/>
          </v:shape>
          <o:OLEObject DrawAspect="Icon" ObjectID="_1718471223" ProgID="Excel.Sheet.12" ShapeID="_x0000_i1029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平台管理部：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新疆、广西、贵州、天津、重庆</w:t>
            </w:r>
            <w:r>
              <w:rPr>
                <w:rFonts w:eastAsia="等线" w:ascii="Arial" w:cs="Arial" w:hAnsi="Arial"/>
                <w:sz w:val="22"/>
              </w:rPr>
              <w:t>10月后延占比70%以上，项目跨年后延严重。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安徽、广东、河北、山东</w:t>
            </w:r>
            <w:r>
              <w:rPr>
                <w:rFonts w:eastAsia="等线" w:ascii="Arial" w:cs="Arial" w:hAnsi="Arial"/>
                <w:sz w:val="22"/>
              </w:rPr>
              <w:t>区域10月后延占比低于40%，项目后延指标较优。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四、关键指标分析：</w:t>
      </w:r>
      <w:bookmarkEnd w:id="5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7" o:title=""/>
          </v:shape>
          <o:OLEObject DrawAspect="Icon" ObjectID="_1718471224" ProgID="Excel.Sheet.12" ShapeID="_x0000_i1030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0690">
    <w:lvl>
      <w:start w:val="1"/>
      <w:numFmt w:val="decimal"/>
      <w:suff w:val="tab"/>
      <w:lvlText w:val="%1."/>
      <w:rPr>
        <w:color w:val="3370ff"/>
      </w:rPr>
    </w:lvl>
  </w:abstractNum>
  <w:abstractNum w:abstractNumId="70691">
    <w:lvl>
      <w:start w:val="2"/>
      <w:numFmt w:val="decimal"/>
      <w:suff w:val="tab"/>
      <w:lvlText w:val="%1."/>
      <w:rPr>
        <w:color w:val="3370ff"/>
      </w:rPr>
    </w:lvl>
  </w:abstractNum>
  <w:abstractNum w:abstractNumId="70692">
    <w:lvl>
      <w:start w:val="3"/>
      <w:numFmt w:val="decimal"/>
      <w:suff w:val="tab"/>
      <w:lvlText w:val="%1."/>
      <w:rPr>
        <w:color w:val="3370ff"/>
      </w:rPr>
    </w:lvl>
  </w:abstractNum>
  <w:abstractNum w:abstractNumId="70693">
    <w:lvl>
      <w:start w:val="1"/>
      <w:numFmt w:val="decimal"/>
      <w:suff w:val="tab"/>
      <w:lvlText w:val="%1."/>
      <w:rPr>
        <w:color w:val="3370ff"/>
      </w:rPr>
    </w:lvl>
  </w:abstractNum>
  <w:abstractNum w:abstractNumId="70694">
    <w:lvl>
      <w:start w:val="2"/>
      <w:numFmt w:val="decimal"/>
      <w:suff w:val="tab"/>
      <w:lvlText w:val="%1."/>
      <w:rPr>
        <w:color w:val="3370ff"/>
      </w:rPr>
    </w:lvl>
  </w:abstractNum>
  <w:abstractNum w:abstractNumId="70695">
    <w:lvl>
      <w:start w:val="3"/>
      <w:numFmt w:val="decimal"/>
      <w:suff w:val="tab"/>
      <w:lvlText w:val="%1."/>
      <w:rPr>
        <w:color w:val="3370ff"/>
      </w:rPr>
    </w:lvl>
  </w:abstractNum>
  <w:abstractNum w:abstractNumId="70696">
    <w:lvl>
      <w:start w:val="1"/>
      <w:numFmt w:val="decimal"/>
      <w:suff w:val="tab"/>
      <w:lvlText w:val="%1."/>
      <w:rPr>
        <w:color w:val="3370ff"/>
      </w:rPr>
    </w:lvl>
  </w:abstractNum>
  <w:abstractNum w:abstractNumId="70697">
    <w:lvl>
      <w:start w:val="2"/>
      <w:numFmt w:val="decimal"/>
      <w:suff w:val="tab"/>
      <w:lvlText w:val="%1."/>
      <w:rPr>
        <w:color w:val="3370ff"/>
      </w:rPr>
    </w:lvl>
  </w:abstractNum>
  <w:abstractNum w:abstractNumId="70698">
    <w:lvl>
      <w:start w:val="3"/>
      <w:numFmt w:val="decimal"/>
      <w:suff w:val="tab"/>
      <w:lvlText w:val="%1."/>
      <w:rPr>
        <w:color w:val="3370ff"/>
      </w:rPr>
    </w:lvl>
  </w:abstractNum>
  <w:abstractNum w:abstractNumId="70699">
    <w:lvl>
      <w:start w:val="4"/>
      <w:numFmt w:val="decimal"/>
      <w:suff w:val="tab"/>
      <w:lvlText w:val="%1."/>
      <w:rPr>
        <w:color w:val="3370ff"/>
      </w:rPr>
    </w:lvl>
  </w:abstractNum>
  <w:abstractNum w:abstractNumId="70700">
    <w:lvl>
      <w:numFmt w:val="bullet"/>
      <w:suff w:val="tab"/>
      <w:lvlText w:val="•"/>
      <w:rPr>
        <w:color w:val="3370ff"/>
      </w:rPr>
    </w:lvl>
  </w:abstractNum>
  <w:abstractNum w:abstractNumId="70701">
    <w:lvl>
      <w:numFmt w:val="bullet"/>
      <w:suff w:val="tab"/>
      <w:lvlText w:val="•"/>
      <w:rPr>
        <w:color w:val="3370ff"/>
      </w:rPr>
    </w:lvl>
  </w:abstractNum>
  <w:abstractNum w:abstractNumId="70702">
    <w:lvl>
      <w:numFmt w:val="bullet"/>
      <w:suff w:val="tab"/>
      <w:lvlText w:val="•"/>
      <w:rPr>
        <w:color w:val="3370ff"/>
      </w:rPr>
    </w:lvl>
  </w:abstractNum>
  <w:abstractNum w:abstractNumId="70703">
    <w:lvl>
      <w:numFmt w:val="bullet"/>
      <w:suff w:val="tab"/>
      <w:lvlText w:val="•"/>
      <w:rPr>
        <w:color w:val="3370ff"/>
      </w:rPr>
    </w:lvl>
  </w:abstractNum>
  <w:abstractNum w:abstractNumId="70704">
    <w:lvl>
      <w:numFmt w:val="bullet"/>
      <w:suff w:val="tab"/>
      <w:lvlText w:val="•"/>
      <w:rPr>
        <w:color w:val="3370ff"/>
      </w:rPr>
    </w:lvl>
  </w:abstractNum>
  <w:num w:numId="1">
    <w:abstractNumId w:val="70690"/>
  </w:num>
  <w:num w:numId="2">
    <w:abstractNumId w:val="70691"/>
  </w:num>
  <w:num w:numId="3">
    <w:abstractNumId w:val="70692"/>
  </w:num>
  <w:num w:numId="4">
    <w:abstractNumId w:val="70693"/>
  </w:num>
  <w:num w:numId="5">
    <w:abstractNumId w:val="70694"/>
  </w:num>
  <w:num w:numId="6">
    <w:abstractNumId w:val="70695"/>
  </w:num>
  <w:num w:numId="7">
    <w:abstractNumId w:val="70696"/>
  </w:num>
  <w:num w:numId="8">
    <w:abstractNumId w:val="70697"/>
  </w:num>
  <w:num w:numId="9">
    <w:abstractNumId w:val="70698"/>
  </w:num>
  <w:num w:numId="10">
    <w:abstractNumId w:val="70699"/>
  </w:num>
  <w:num w:numId="11">
    <w:abstractNumId w:val="70700"/>
  </w:num>
  <w:num w:numId="12">
    <w:abstractNumId w:val="70701"/>
  </w:num>
  <w:num w:numId="13">
    <w:abstractNumId w:val="70702"/>
  </w:num>
  <w:num w:numId="14">
    <w:abstractNumId w:val="70703"/>
  </w:num>
  <w:num w:numId="15">
    <w:abstractNumId w:val="707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5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6.xlsx" Type="http://schemas.openxmlformats.org/officeDocument/2006/relationships/package"/><Relationship Id="rId17" Target="media/image7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2025-11-24T02:38:49Z</dcterms:created>
  <dc:creator>Apache POI</dc:creator>
</cp:coreProperties>
</file>