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E99EC">
      <w:pPr>
        <w:spacing w:before="0" w:after="0" w:line="595" w:lineRule="exact"/>
      </w:pPr>
      <w:r>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59040" cy="442595"/>
            <wp:effectExtent l="0" t="0" r="0" b="0"/>
            <wp:wrapNone/>
            <wp:docPr id="1" name="Drawing 0" descr="header_bg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header_bg_icon.png"/>
                    <pic:cNvPicPr>
                      <a:picLocks noChangeAspect="1"/>
                    </pic:cNvPicPr>
                  </pic:nvPicPr>
                  <pic:blipFill>
                    <a:blip r:embed="rId6"/>
                    <a:stretch>
                      <a:fillRect/>
                    </a:stretch>
                  </pic:blipFill>
                  <pic:spPr>
                    <a:xfrm>
                      <a:off x="0" y="0"/>
                      <a:ext cx="7559055" cy="442481"/>
                    </a:xfrm>
                    <a:prstGeom prst="rect">
                      <a:avLst/>
                    </a:prstGeom>
                  </pic:spPr>
                </pic:pic>
              </a:graphicData>
            </a:graphic>
          </wp:anchor>
        </w:drawing>
      </w:r>
    </w:p>
    <w:p w14:paraId="46FF57C3">
      <w:pPr>
        <w:spacing w:before="0" w:after="0" w:line="725" w:lineRule="exact"/>
      </w:pPr>
      <w:r>
        <w:rPr>
          <w:rFonts w:ascii="微软雅黑" w:hAnsi="微软雅黑" w:eastAsia="微软雅黑" w:cs="微软雅黑"/>
          <w:b w:val="0"/>
          <w:color w:val="3D3D3D"/>
          <w:sz w:val="52"/>
        </w:rPr>
        <w:t>赵波</w:t>
      </w:r>
      <w:r>
        <w:drawing>
          <wp:anchor distT="0" distB="0" distL="114300" distR="114300" simplePos="0" relativeHeight="251659264" behindDoc="1" locked="0" layoutInCell="1" allowOverlap="1">
            <wp:simplePos x="0" y="0"/>
            <wp:positionH relativeFrom="page">
              <wp:posOffset>441960</wp:posOffset>
            </wp:positionH>
            <wp:positionV relativeFrom="page">
              <wp:posOffset>451485</wp:posOffset>
            </wp:positionV>
            <wp:extent cx="6673850" cy="1981835"/>
            <wp:effectExtent l="0" t="0" r="0" b="0"/>
            <wp:wrapNone/>
            <wp:docPr id="2" name="Drawing 0" descr="base_info_head_icon_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base_info_head_icon_bg.png"/>
                    <pic:cNvPicPr>
                      <a:picLocks noChangeAspect="1"/>
                    </pic:cNvPicPr>
                  </pic:nvPicPr>
                  <pic:blipFill>
                    <a:blip r:embed="rId7"/>
                    <a:stretch>
                      <a:fillRect/>
                    </a:stretch>
                  </pic:blipFill>
                  <pic:spPr>
                    <a:xfrm>
                      <a:off x="0" y="0"/>
                      <a:ext cx="6674092" cy="1981947"/>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page">
              <wp:posOffset>580390</wp:posOffset>
            </wp:positionH>
            <wp:positionV relativeFrom="page">
              <wp:posOffset>746125</wp:posOffset>
            </wp:positionV>
            <wp:extent cx="2534920" cy="313690"/>
            <wp:effectExtent l="0" t="0" r="0" b="0"/>
            <wp:wrapNone/>
            <wp:docPr id="3" name="Drawing 0" descr="base_info_head_icon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base_info_head_icon_split.png"/>
                    <pic:cNvPicPr>
                      <a:picLocks noChangeAspect="1"/>
                    </pic:cNvPicPr>
                  </pic:nvPicPr>
                  <pic:blipFill>
                    <a:blip r:embed="rId8"/>
                    <a:stretch>
                      <a:fillRect/>
                    </a:stretch>
                  </pic:blipFill>
                  <pic:spPr>
                    <a:xfrm>
                      <a:off x="0" y="0"/>
                      <a:ext cx="2535049" cy="313424"/>
                    </a:xfrm>
                    <a:prstGeom prst="rect">
                      <a:avLst/>
                    </a:prstGeom>
                  </pic:spPr>
                </pic:pic>
              </a:graphicData>
            </a:graphic>
          </wp:anchor>
        </w:drawing>
      </w:r>
    </w:p>
    <w:p w14:paraId="2C9B7758">
      <w:pPr>
        <w:spacing w:before="0" w:after="0" w:line="87" w:lineRule="exact"/>
      </w:pPr>
      <w:r>
        <w:drawing>
          <wp:anchor distT="0" distB="0" distL="114300" distR="114300" simplePos="0" relativeHeight="251659264" behindDoc="0" locked="0" layoutInCell="1" allowOverlap="1">
            <wp:simplePos x="0" y="0"/>
            <wp:positionH relativeFrom="column">
              <wp:posOffset>5033010</wp:posOffset>
            </wp:positionH>
            <wp:positionV relativeFrom="page">
              <wp:posOffset>829310</wp:posOffset>
            </wp:positionV>
            <wp:extent cx="1207770" cy="1604010"/>
            <wp:effectExtent l="0" t="0" r="0" b="0"/>
            <wp:wrapNone/>
            <wp:docPr id="4" name="Drawing 0" descr="ic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icon.svg"/>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207605" cy="1603994"/>
                    </a:xfrm>
                    <a:prstGeom prst="rect">
                      <a:avLst/>
                    </a:prstGeom>
                  </pic:spPr>
                </pic:pic>
              </a:graphicData>
            </a:graphic>
          </wp:anchor>
        </w:drawing>
      </w:r>
    </w:p>
    <w:tbl>
      <w:tblPr>
        <w:tblStyle w:val="4"/>
        <w:tblW w:w="6474" w:type="dxa"/>
        <w:tblInd w:w="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72" w:type="dxa"/>
          <w:bottom w:w="0" w:type="dxa"/>
          <w:right w:w="72" w:type="dxa"/>
        </w:tblCellMar>
      </w:tblPr>
      <w:tblGrid>
        <w:gridCol w:w="3237"/>
        <w:gridCol w:w="3237"/>
      </w:tblGrid>
      <w:tr w14:paraId="4A4B6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2" w:type="dxa"/>
            <w:bottom w:w="0" w:type="dxa"/>
            <w:right w:w="72" w:type="dxa"/>
          </w:tblCellMar>
        </w:tblPrEx>
        <w:trPr>
          <w:trHeight w:val="377" w:hRule="atLeast"/>
        </w:trPr>
        <w:tc>
          <w:tcPr>
            <w:tcW w:w="3237" w:type="dxa"/>
          </w:tcPr>
          <w:p w14:paraId="6A961857">
            <w:pPr>
              <w:spacing w:before="0" w:after="0" w:line="377" w:lineRule="exact"/>
              <w:textAlignment w:val="center"/>
            </w:pPr>
            <w:r>
              <w:rPr>
                <w:rFonts w:ascii="微软雅黑" w:hAnsi="微软雅黑" w:eastAsia="微软雅黑" w:cs="微软雅黑"/>
                <w:b w:val="0"/>
                <w:color w:val="555555"/>
                <w:sz w:val="20"/>
              </w:rPr>
              <w:t>性别：</w:t>
            </w:r>
            <w:r>
              <w:rPr>
                <w:rFonts w:ascii="微软雅黑" w:hAnsi="微软雅黑" w:eastAsia="微软雅黑" w:cs="微软雅黑"/>
                <w:color w:val="555555"/>
                <w:sz w:val="20"/>
              </w:rPr>
              <w:t>男</w:t>
            </w:r>
          </w:p>
        </w:tc>
        <w:tc>
          <w:tcPr>
            <w:tcW w:w="3237" w:type="dxa"/>
          </w:tcPr>
          <w:p w14:paraId="31B67FF4">
            <w:pPr>
              <w:spacing w:before="0" w:after="0" w:line="377" w:lineRule="exact"/>
              <w:textAlignment w:val="center"/>
            </w:pPr>
            <w:r>
              <w:rPr>
                <w:rFonts w:ascii="微软雅黑" w:hAnsi="微软雅黑" w:eastAsia="微软雅黑" w:cs="微软雅黑"/>
                <w:b w:val="0"/>
                <w:color w:val="555555"/>
                <w:sz w:val="20"/>
              </w:rPr>
              <w:t>年龄：</w:t>
            </w:r>
            <w:r>
              <w:rPr>
                <w:rFonts w:ascii="微软雅黑" w:hAnsi="微软雅黑" w:eastAsia="微软雅黑" w:cs="微软雅黑"/>
                <w:color w:val="555555"/>
                <w:sz w:val="20"/>
              </w:rPr>
              <w:t>46</w:t>
            </w:r>
          </w:p>
        </w:tc>
      </w:tr>
      <w:tr w14:paraId="3A9AF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2" w:type="dxa"/>
            <w:bottom w:w="0" w:type="dxa"/>
            <w:right w:w="72" w:type="dxa"/>
          </w:tblCellMar>
        </w:tblPrEx>
        <w:trPr>
          <w:trHeight w:val="377" w:hRule="atLeast"/>
        </w:trPr>
        <w:tc>
          <w:tcPr>
            <w:tcW w:w="3237" w:type="dxa"/>
          </w:tcPr>
          <w:p w14:paraId="68F39F53">
            <w:pPr>
              <w:spacing w:before="0" w:after="0" w:line="377" w:lineRule="exact"/>
              <w:textAlignment w:val="center"/>
            </w:pPr>
            <w:r>
              <w:rPr>
                <w:rFonts w:ascii="微软雅黑" w:hAnsi="微软雅黑" w:eastAsia="微软雅黑" w:cs="微软雅黑"/>
                <w:b w:val="0"/>
                <w:color w:val="555555"/>
                <w:sz w:val="20"/>
              </w:rPr>
              <w:t>电话：</w:t>
            </w:r>
            <w:r>
              <w:rPr>
                <w:rFonts w:ascii="微软雅黑" w:hAnsi="微软雅黑" w:eastAsia="微软雅黑" w:cs="微软雅黑"/>
                <w:color w:val="555555"/>
                <w:sz w:val="20"/>
              </w:rPr>
              <w:t>13501102267</w:t>
            </w:r>
          </w:p>
        </w:tc>
        <w:tc>
          <w:tcPr>
            <w:tcW w:w="3237" w:type="dxa"/>
          </w:tcPr>
          <w:p w14:paraId="2BEE3D03">
            <w:pPr>
              <w:spacing w:before="0" w:after="0" w:line="377" w:lineRule="exact"/>
              <w:textAlignment w:val="center"/>
            </w:pPr>
            <w:r>
              <w:rPr>
                <w:rFonts w:ascii="微软雅黑" w:hAnsi="微软雅黑" w:eastAsia="微软雅黑" w:cs="微软雅黑"/>
                <w:b w:val="0"/>
                <w:color w:val="555555"/>
                <w:sz w:val="20"/>
              </w:rPr>
              <w:t>邮箱：</w:t>
            </w:r>
            <w:r>
              <w:rPr>
                <w:rFonts w:ascii="微软雅黑" w:hAnsi="微软雅黑" w:eastAsia="微软雅黑" w:cs="微软雅黑"/>
                <w:color w:val="555555"/>
                <w:sz w:val="20"/>
              </w:rPr>
              <w:t>bobosscn@163.com</w:t>
            </w:r>
          </w:p>
        </w:tc>
      </w:tr>
    </w:tbl>
    <w:p w14:paraId="38E12666">
      <w:pPr>
        <w:spacing w:before="0" w:after="0" w:line="362" w:lineRule="exact"/>
      </w:pPr>
    </w:p>
    <w:p w14:paraId="3B74825B">
      <w:pPr>
        <w:spacing w:before="0" w:after="0" w:line="377" w:lineRule="exact"/>
      </w:pPr>
    </w:p>
    <w:p w14:paraId="1574D435">
      <w:pPr>
        <w:spacing w:before="0" w:after="0" w:line="275" w:lineRule="exact"/>
        <w:ind w:left="0"/>
        <w:textAlignment w:val="center"/>
        <w:rPr>
          <w:sz w:val="21"/>
        </w:rPr>
      </w:pPr>
      <w:r>
        <w:rPr>
          <w:rFonts w:ascii="微软雅黑" w:hAnsi="微软雅黑" w:eastAsia="微软雅黑" w:cs="微软雅黑"/>
          <w:b/>
          <w:color w:val="555555"/>
          <w:sz w:val="26"/>
        </w:rPr>
        <w:t>求职意向</w:t>
      </w:r>
    </w:p>
    <w:p w14:paraId="7FBCEE8E">
      <w:pPr>
        <w:spacing w:before="0" w:after="0" w:line="14" w:lineRule="exact"/>
        <w:rPr>
          <w:sz w:val="21"/>
        </w:rPr>
      </w:pPr>
    </w:p>
    <w:p w14:paraId="6C26D31E">
      <w:pPr>
        <w:spacing w:before="0" w:after="0" w:line="152" w:lineRule="exact"/>
        <w:rPr>
          <w:rFonts w:hint="eastAsia" w:eastAsiaTheme="minorEastAsia"/>
          <w:sz w:val="21"/>
          <w:lang w:val="en-US" w:eastAsia="zh-CN"/>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937"/>
        <w:gridCol w:w="4938"/>
      </w:tblGrid>
      <w:tr w14:paraId="26722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77" w:hRule="atLeast"/>
        </w:trPr>
        <w:tc>
          <w:tcPr>
            <w:tcW w:w="5216" w:type="dxa"/>
            <w:tcBorders>
              <w:tl2br w:val="nil"/>
              <w:tr2bl w:val="nil"/>
            </w:tcBorders>
            <w:tcMar>
              <w:top w:w="0" w:type="dxa"/>
              <w:left w:w="0" w:type="dxa"/>
              <w:bottom w:w="0" w:type="dxa"/>
              <w:right w:w="0" w:type="dxa"/>
            </w:tcMar>
            <w:vAlign w:val="top"/>
          </w:tcPr>
          <w:p w14:paraId="1BE2C1B5">
            <w:pPr>
              <w:spacing w:before="0" w:after="0" w:line="377" w:lineRule="exact"/>
              <w:ind w:left="0" w:right="0"/>
              <w:textAlignment w:val="center"/>
              <w:rPr>
                <w:vertAlign w:val="baseline"/>
              </w:rPr>
            </w:pPr>
            <w:r>
              <w:rPr>
                <w:rFonts w:ascii="微软雅黑" w:hAnsi="微软雅黑" w:eastAsia="微软雅黑" w:cs="微软雅黑"/>
                <w:b w:val="0"/>
                <w:color w:val="555555"/>
                <w:sz w:val="20"/>
              </w:rPr>
              <w:t>意向岗位：</w:t>
            </w:r>
            <w:r>
              <w:rPr>
                <w:rFonts w:ascii="微软雅黑" w:hAnsi="微软雅黑" w:eastAsia="微软雅黑" w:cs="微软雅黑"/>
                <w:color w:val="555555"/>
                <w:sz w:val="20"/>
              </w:rPr>
              <w:t>流程管理,产品经理</w:t>
            </w:r>
          </w:p>
        </w:tc>
        <w:tc>
          <w:tcPr>
            <w:tcW w:w="5216" w:type="dxa"/>
            <w:tcBorders>
              <w:tl2br w:val="nil"/>
              <w:tr2bl w:val="nil"/>
            </w:tcBorders>
            <w:tcMar>
              <w:top w:w="0" w:type="dxa"/>
              <w:left w:w="0" w:type="dxa"/>
              <w:bottom w:w="0" w:type="dxa"/>
              <w:right w:w="0" w:type="dxa"/>
            </w:tcMar>
            <w:vAlign w:val="top"/>
          </w:tcPr>
          <w:p w14:paraId="23AA6170">
            <w:pPr>
              <w:spacing w:before="0" w:after="0" w:line="377" w:lineRule="exact"/>
              <w:ind w:left="0" w:right="0"/>
              <w:textAlignment w:val="center"/>
              <w:rPr>
                <w:vertAlign w:val="baseline"/>
              </w:rPr>
            </w:pPr>
            <w:r>
              <w:rPr>
                <w:rFonts w:ascii="微软雅黑" w:hAnsi="微软雅黑" w:eastAsia="微软雅黑" w:cs="微软雅黑"/>
                <w:b w:val="0"/>
                <w:color w:val="555555"/>
                <w:sz w:val="20"/>
              </w:rPr>
              <w:t>意向城市：</w:t>
            </w:r>
            <w:r>
              <w:rPr>
                <w:rFonts w:ascii="微软雅黑" w:hAnsi="微软雅黑" w:eastAsia="微软雅黑" w:cs="微软雅黑"/>
                <w:color w:val="555555"/>
                <w:sz w:val="20"/>
              </w:rPr>
              <w:t>北京</w:t>
            </w:r>
          </w:p>
        </w:tc>
      </w:tr>
      <w:tr w14:paraId="3F0FF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5216" w:type="dxa"/>
            <w:tcBorders>
              <w:tl2br w:val="nil"/>
              <w:tr2bl w:val="nil"/>
            </w:tcBorders>
            <w:tcMar>
              <w:top w:w="0" w:type="dxa"/>
              <w:left w:w="0" w:type="dxa"/>
              <w:bottom w:w="0" w:type="dxa"/>
              <w:right w:w="0" w:type="dxa"/>
            </w:tcMar>
            <w:vAlign w:val="top"/>
          </w:tcPr>
          <w:p w14:paraId="7593E48E">
            <w:pPr>
              <w:spacing w:before="0" w:after="0" w:line="377" w:lineRule="exact"/>
              <w:ind w:left="0" w:right="0"/>
              <w:textAlignment w:val="center"/>
              <w:rPr>
                <w:vertAlign w:val="baseline"/>
              </w:rPr>
            </w:pPr>
            <w:r>
              <w:rPr>
                <w:rFonts w:ascii="微软雅黑" w:hAnsi="微软雅黑" w:eastAsia="微软雅黑" w:cs="微软雅黑"/>
                <w:b w:val="0"/>
                <w:color w:val="555555"/>
                <w:sz w:val="20"/>
              </w:rPr>
              <w:t>求职类型：</w:t>
            </w:r>
            <w:r>
              <w:rPr>
                <w:rFonts w:ascii="微软雅黑" w:hAnsi="微软雅黑" w:eastAsia="微软雅黑" w:cs="微软雅黑"/>
                <w:color w:val="555555"/>
                <w:sz w:val="20"/>
              </w:rPr>
              <w:t>社招</w:t>
            </w:r>
          </w:p>
        </w:tc>
        <w:tc>
          <w:tcPr>
            <w:tcW w:w="5216" w:type="dxa"/>
            <w:tcBorders>
              <w:tl2br w:val="nil"/>
              <w:tr2bl w:val="nil"/>
            </w:tcBorders>
            <w:tcMar>
              <w:top w:w="0" w:type="dxa"/>
              <w:left w:w="0" w:type="dxa"/>
              <w:bottom w:w="0" w:type="dxa"/>
              <w:right w:w="0" w:type="dxa"/>
            </w:tcMar>
            <w:vAlign w:val="top"/>
          </w:tcPr>
          <w:p w14:paraId="0EBEAF5C">
            <w:pPr>
              <w:spacing w:before="0" w:after="0" w:line="377" w:lineRule="exact"/>
              <w:rPr>
                <w:rFonts w:hint="default" w:eastAsiaTheme="minorEastAsia"/>
                <w:vertAlign w:val="baseline"/>
                <w:lang w:val="en-US" w:eastAsia="zh-CN"/>
              </w:rPr>
            </w:pPr>
            <w:r>
              <w:rPr>
                <w:rFonts w:hint="eastAsia"/>
                <w:vertAlign w:val="baseline"/>
                <w:lang w:val="en-US" w:eastAsia="zh-CN"/>
              </w:rPr>
              <w:t>薪资：面议</w:t>
            </w:r>
          </w:p>
        </w:tc>
      </w:tr>
    </w:tbl>
    <w:p w14:paraId="32122D18">
      <w:pPr>
        <w:spacing w:before="0" w:after="0" w:line="290" w:lineRule="exact"/>
      </w:pPr>
    </w:p>
    <w:p w14:paraId="3452074A">
      <w:pPr>
        <w:spacing w:before="0" w:after="0" w:line="275" w:lineRule="exact"/>
        <w:ind w:left="0"/>
        <w:textAlignment w:val="center"/>
        <w:rPr>
          <w:sz w:val="21"/>
        </w:rPr>
      </w:pPr>
      <w:r>
        <w:rPr>
          <w:rFonts w:ascii="微软雅黑" w:hAnsi="微软雅黑" w:eastAsia="微软雅黑" w:cs="微软雅黑"/>
          <w:b/>
          <w:color w:val="555555"/>
          <w:sz w:val="26"/>
        </w:rPr>
        <w:t>教育经历</w:t>
      </w:r>
    </w:p>
    <w:p w14:paraId="43287C97">
      <w:pPr>
        <w:spacing w:before="0" w:after="0" w:line="14" w:lineRule="exact"/>
        <w:rPr>
          <w:sz w:val="21"/>
        </w:rPr>
      </w:pPr>
    </w:p>
    <w:p w14:paraId="2457B8FA">
      <w:pPr>
        <w:spacing w:before="0" w:after="0" w:line="152" w:lineRule="exact"/>
        <w:rPr>
          <w:rFonts w:hint="eastAsia" w:eastAsiaTheme="minorEastAsia"/>
          <w:sz w:val="21"/>
          <w:lang w:val="en-US" w:eastAsia="zh-CN"/>
        </w:rPr>
      </w:pPr>
    </w:p>
    <w:p w14:paraId="72C8B43B">
      <w:pPr>
        <w:tabs>
          <w:tab w:val="right" w:pos="9860"/>
        </w:tabs>
        <w:spacing w:before="0" w:after="0" w:line="377" w:lineRule="exact"/>
        <w:jc w:val="left"/>
        <w:textAlignment w:val="center"/>
      </w:pPr>
      <w:r>
        <w:rPr>
          <w:rFonts w:ascii="微软雅黑" w:hAnsi="微软雅黑" w:eastAsia="微软雅黑" w:cs="微软雅黑"/>
          <w:b/>
          <w:sz w:val="22"/>
        </w:rPr>
        <w:t>2010.9-2013.7</w:t>
      </w:r>
      <w:r>
        <w:rPr>
          <w:rFonts w:ascii="微软雅黑" w:hAnsi="微软雅黑" w:eastAsia="微软雅黑" w:cs="微软雅黑"/>
          <w:b/>
          <w:sz w:val="22"/>
        </w:rPr>
        <w:tab/>
      </w:r>
      <w:r>
        <w:rPr>
          <w:rFonts w:ascii="微软雅黑" w:hAnsi="微软雅黑" w:eastAsia="微软雅黑" w:cs="微软雅黑"/>
          <w:b/>
          <w:sz w:val="22"/>
        </w:rPr>
        <w:t>北京理工大学</w:t>
      </w:r>
    </w:p>
    <w:p w14:paraId="5BE81F2C">
      <w:pPr>
        <w:spacing w:before="0" w:after="0" w:line="348" w:lineRule="exact"/>
        <w:jc w:val="left"/>
        <w:textAlignment w:val="center"/>
      </w:pPr>
      <w:r>
        <w:rPr>
          <w:rFonts w:ascii="微软雅黑" w:hAnsi="微软雅黑" w:eastAsia="微软雅黑" w:cs="微软雅黑"/>
          <w:color w:val="525252"/>
          <w:sz w:val="22"/>
        </w:rPr>
        <w:t xml:space="preserve"> | MBA</w:t>
      </w:r>
    </w:p>
    <w:p w14:paraId="1ABB99BA">
      <w:pPr>
        <w:spacing w:before="0" w:after="0" w:line="152" w:lineRule="exact"/>
        <w:jc w:val="left"/>
      </w:pPr>
    </w:p>
    <w:p w14:paraId="15EBA683">
      <w:pPr>
        <w:tabs>
          <w:tab w:val="right" w:pos="9860"/>
        </w:tabs>
        <w:spacing w:before="0" w:after="0" w:line="377" w:lineRule="exact"/>
        <w:jc w:val="left"/>
        <w:textAlignment w:val="center"/>
      </w:pPr>
      <w:r>
        <w:rPr>
          <w:rFonts w:ascii="微软雅黑" w:hAnsi="微软雅黑" w:eastAsia="微软雅黑" w:cs="微软雅黑"/>
          <w:b/>
          <w:sz w:val="22"/>
        </w:rPr>
        <w:t>1979.9-2001.7</w:t>
      </w:r>
      <w:r>
        <w:rPr>
          <w:rFonts w:ascii="微软雅黑" w:hAnsi="微软雅黑" w:eastAsia="微软雅黑" w:cs="微软雅黑"/>
          <w:b/>
          <w:sz w:val="22"/>
        </w:rPr>
        <w:tab/>
      </w:r>
      <w:r>
        <w:rPr>
          <w:rFonts w:ascii="微软雅黑" w:hAnsi="微软雅黑" w:eastAsia="微软雅黑" w:cs="微软雅黑"/>
          <w:b/>
          <w:sz w:val="22"/>
        </w:rPr>
        <w:t>中国人民解放军海军工程大学</w:t>
      </w:r>
    </w:p>
    <w:p w14:paraId="631BE42F">
      <w:pPr>
        <w:spacing w:before="0" w:after="0" w:line="348" w:lineRule="exact"/>
        <w:jc w:val="left"/>
        <w:textAlignment w:val="center"/>
      </w:pPr>
      <w:r>
        <w:rPr>
          <w:rFonts w:ascii="微软雅黑" w:hAnsi="微软雅黑" w:eastAsia="微软雅黑" w:cs="微软雅黑"/>
          <w:color w:val="525252"/>
          <w:sz w:val="22"/>
        </w:rPr>
        <w:t>计算机科学与技术</w:t>
      </w:r>
    </w:p>
    <w:p w14:paraId="53BE60A6">
      <w:pPr>
        <w:spacing w:before="0" w:after="0" w:line="290" w:lineRule="exact"/>
        <w:jc w:val="left"/>
      </w:pPr>
    </w:p>
    <w:p w14:paraId="46C7F966">
      <w:pPr>
        <w:spacing w:before="0" w:after="0" w:line="275" w:lineRule="exact"/>
        <w:ind w:left="0"/>
        <w:textAlignment w:val="center"/>
        <w:rPr>
          <w:sz w:val="21"/>
        </w:rPr>
      </w:pPr>
      <w:r>
        <w:rPr>
          <w:rFonts w:ascii="微软雅黑" w:hAnsi="微软雅黑" w:eastAsia="微软雅黑" w:cs="微软雅黑"/>
          <w:b/>
          <w:color w:val="555555"/>
          <w:sz w:val="26"/>
        </w:rPr>
        <w:t>工作经历</w:t>
      </w:r>
    </w:p>
    <w:p w14:paraId="7CAAF1A3">
      <w:pPr>
        <w:spacing w:before="0" w:after="0" w:line="14" w:lineRule="exact"/>
        <w:rPr>
          <w:sz w:val="21"/>
        </w:rPr>
      </w:pPr>
    </w:p>
    <w:p w14:paraId="12278611">
      <w:pPr>
        <w:spacing w:before="0" w:after="0" w:line="152" w:lineRule="exact"/>
        <w:rPr>
          <w:rFonts w:hint="eastAsia" w:eastAsiaTheme="minorEastAsia"/>
          <w:sz w:val="21"/>
          <w:lang w:val="en-US" w:eastAsia="zh-CN"/>
        </w:rPr>
      </w:pPr>
    </w:p>
    <w:p w14:paraId="79B65C6F">
      <w:pPr>
        <w:tabs>
          <w:tab w:val="right" w:pos="9860"/>
        </w:tabs>
        <w:spacing w:before="0" w:after="0" w:line="377" w:lineRule="exact"/>
        <w:jc w:val="left"/>
        <w:textAlignment w:val="center"/>
      </w:pPr>
      <w:r>
        <w:rPr>
          <w:rFonts w:ascii="微软雅黑" w:hAnsi="微软雅黑" w:eastAsia="微软雅黑" w:cs="微软雅黑"/>
          <w:b/>
          <w:sz w:val="22"/>
        </w:rPr>
        <w:t>2025.2-2025.8</w:t>
      </w:r>
      <w:r>
        <w:rPr>
          <w:rFonts w:ascii="微软雅黑" w:hAnsi="微软雅黑" w:eastAsia="微软雅黑" w:cs="微软雅黑"/>
          <w:b/>
          <w:sz w:val="22"/>
        </w:rPr>
        <w:tab/>
      </w:r>
      <w:r>
        <w:rPr>
          <w:rFonts w:ascii="微软雅黑" w:hAnsi="微软雅黑" w:eastAsia="微软雅黑" w:cs="微软雅黑"/>
          <w:b/>
          <w:sz w:val="22"/>
        </w:rPr>
        <w:t>锐捷网络有限公司</w:t>
      </w:r>
    </w:p>
    <w:p w14:paraId="0C0A5572">
      <w:pPr>
        <w:spacing w:before="0" w:after="0" w:line="348" w:lineRule="exact"/>
        <w:jc w:val="left"/>
        <w:textAlignment w:val="center"/>
      </w:pPr>
      <w:r>
        <w:rPr>
          <w:rFonts w:ascii="微软雅黑" w:hAnsi="微软雅黑" w:eastAsia="微软雅黑" w:cs="微软雅黑"/>
          <w:color w:val="525252"/>
          <w:sz w:val="22"/>
        </w:rPr>
        <w:t>流程管理经理</w:t>
      </w:r>
    </w:p>
    <w:p w14:paraId="19227056">
      <w:pPr>
        <w:spacing w:before="0" w:after="0" w:line="71" w:lineRule="exact"/>
        <w:jc w:val="left"/>
      </w:pPr>
    </w:p>
    <w:p w14:paraId="6DC24013">
      <w:pPr>
        <w:numPr>
          <w:ilvl w:val="0"/>
          <w:numId w:val="1"/>
        </w:numPr>
        <w:spacing w:before="0" w:after="0" w:line="377" w:lineRule="exact"/>
        <w:textAlignment w:val="center"/>
      </w:pPr>
      <w:r>
        <w:rPr>
          <w:rFonts w:ascii="微软雅黑" w:hAnsi="微软雅黑" w:eastAsia="微软雅黑" w:cs="微软雅黑"/>
          <w:color w:val="666666"/>
          <w:sz w:val="20"/>
        </w:rPr>
        <w:t>流程建设与效率提升: 主导营销与市场领域核心流程(Demand Generation/MO/LTC)体系建设，通过瓶颈分析重构多个关键节点，实现线索转化率提升，漏斗质量及商机转化率提升。</w:t>
      </w:r>
    </w:p>
    <w:p w14:paraId="58F2A246">
      <w:pPr>
        <w:numPr>
          <w:ilvl w:val="0"/>
          <w:numId w:val="1"/>
        </w:numPr>
        <w:spacing w:before="0" w:after="0" w:line="377" w:lineRule="exact"/>
        <w:textAlignment w:val="center"/>
      </w:pPr>
      <w:r>
        <w:rPr>
          <w:rFonts w:ascii="微软雅黑" w:hAnsi="微软雅黑" w:eastAsia="微软雅黑" w:cs="微软雅黑"/>
          <w:color w:val="666666"/>
          <w:sz w:val="20"/>
        </w:rPr>
        <w:t>数字化系统规划: 牵头CRM/ERP及经营管理平台架构设计，推动业务需求响应速度提升，成功适配新业务场景快速上线。</w:t>
      </w:r>
    </w:p>
    <w:p w14:paraId="1396701D">
      <w:pPr>
        <w:numPr>
          <w:ilvl w:val="0"/>
          <w:numId w:val="1"/>
        </w:numPr>
        <w:spacing w:before="0" w:after="0" w:line="377" w:lineRule="exact"/>
        <w:textAlignment w:val="center"/>
      </w:pPr>
      <w:r>
        <w:rPr>
          <w:rFonts w:ascii="微软雅黑" w:hAnsi="微软雅黑" w:eastAsia="微软雅黑" w:cs="微软雅黑"/>
          <w:color w:val="666666"/>
          <w:sz w:val="20"/>
        </w:rPr>
        <w:t>AI技术落地: 推动AI技术在客户分层与需求预测中的创新应用，试点场景下决策准确率提升40%，人工成本降低20%。</w:t>
      </w:r>
    </w:p>
    <w:p w14:paraId="362601B7">
      <w:pPr>
        <w:numPr>
          <w:ilvl w:val="0"/>
          <w:numId w:val="1"/>
        </w:numPr>
        <w:spacing w:before="0" w:after="0" w:line="377" w:lineRule="exact"/>
        <w:textAlignment w:val="center"/>
      </w:pPr>
      <w:r>
        <w:rPr>
          <w:rFonts w:ascii="微软雅黑" w:hAnsi="微软雅黑" w:eastAsia="微软雅黑" w:cs="微软雅黑"/>
          <w:color w:val="666666"/>
          <w:sz w:val="20"/>
        </w:rPr>
        <w:t>跨部门协同: 统筹市场、销售、IT部门资源落地3个战略级变革项目，保持100%准时交付率，获公司"变革先锋"称号。</w:t>
      </w:r>
    </w:p>
    <w:p w14:paraId="21835FC1">
      <w:pPr>
        <w:spacing w:before="0" w:after="0" w:line="152" w:lineRule="exact"/>
        <w:jc w:val="left"/>
      </w:pPr>
    </w:p>
    <w:p w14:paraId="7478E3C9">
      <w:pPr>
        <w:tabs>
          <w:tab w:val="right" w:pos="9860"/>
        </w:tabs>
        <w:spacing w:before="0" w:after="0" w:line="377" w:lineRule="exact"/>
        <w:jc w:val="left"/>
        <w:textAlignment w:val="center"/>
      </w:pPr>
      <w:r>
        <w:rPr>
          <w:rFonts w:ascii="微软雅黑" w:hAnsi="微软雅黑" w:eastAsia="微软雅黑" w:cs="微软雅黑"/>
          <w:b/>
          <w:sz w:val="22"/>
        </w:rPr>
        <w:t>2011.10-2025.1</w:t>
      </w:r>
      <w:r>
        <w:rPr>
          <w:rFonts w:ascii="微软雅黑" w:hAnsi="微软雅黑" w:eastAsia="微软雅黑" w:cs="微软雅黑"/>
          <w:b/>
          <w:sz w:val="22"/>
        </w:rPr>
        <w:tab/>
      </w:r>
      <w:r>
        <w:rPr>
          <w:rFonts w:ascii="微软雅黑" w:hAnsi="微软雅黑" w:eastAsia="微软雅黑" w:cs="微软雅黑"/>
          <w:b/>
          <w:sz w:val="22"/>
        </w:rPr>
        <w:t>联想(北京)有限公司</w:t>
      </w:r>
    </w:p>
    <w:p w14:paraId="0F2AA080">
      <w:pPr>
        <w:spacing w:before="0" w:after="0" w:line="348" w:lineRule="exact"/>
        <w:jc w:val="left"/>
        <w:textAlignment w:val="center"/>
      </w:pPr>
      <w:r>
        <w:rPr>
          <w:rFonts w:ascii="微软雅黑" w:hAnsi="微软雅黑" w:eastAsia="微软雅黑" w:cs="微软雅黑"/>
          <w:color w:val="525252"/>
          <w:sz w:val="22"/>
        </w:rPr>
        <w:t>高级业务变革经理</w:t>
      </w:r>
    </w:p>
    <w:p w14:paraId="77E5558C">
      <w:pPr>
        <w:spacing w:before="0" w:after="0" w:line="71" w:lineRule="exact"/>
        <w:jc w:val="left"/>
      </w:pPr>
    </w:p>
    <w:p w14:paraId="24421CFA">
      <w:pPr>
        <w:numPr>
          <w:ilvl w:val="0"/>
          <w:numId w:val="2"/>
        </w:numPr>
        <w:spacing w:before="0" w:after="0" w:line="377" w:lineRule="exact"/>
        <w:textAlignment w:val="center"/>
      </w:pPr>
      <w:r>
        <w:rPr>
          <w:rFonts w:ascii="微软雅黑" w:hAnsi="微软雅黑" w:eastAsia="微软雅黑" w:cs="微软雅黑"/>
          <w:color w:val="666666"/>
          <w:sz w:val="20"/>
        </w:rPr>
        <w:t>海外流程与系统落地: 负责海外Sales &amp; Marketing端到端流程优化（涵盖客户主数据/</w:t>
      </w:r>
      <w:bookmarkStart w:id="0" w:name="_GoBack"/>
      <w:bookmarkEnd w:id="0"/>
      <w:r>
        <w:rPr>
          <w:rFonts w:ascii="微软雅黑" w:hAnsi="微软雅黑" w:eastAsia="微软雅黑" w:cs="微软雅黑"/>
          <w:color w:val="666666"/>
          <w:sz w:val="20"/>
        </w:rPr>
        <w:t>线索管理/合同管理等模块），通过CRM系统实现全球业务流程标准化率从60%提升至95%。</w:t>
      </w:r>
    </w:p>
    <w:p w14:paraId="1642F594">
      <w:pPr>
        <w:numPr>
          <w:ilvl w:val="0"/>
          <w:numId w:val="2"/>
        </w:numPr>
        <w:spacing w:before="0" w:after="0" w:line="377" w:lineRule="exact"/>
        <w:textAlignment w:val="center"/>
      </w:pPr>
      <w:r>
        <w:rPr>
          <w:rFonts w:ascii="微软雅黑" w:hAnsi="微软雅黑" w:eastAsia="微软雅黑" w:cs="微软雅黑"/>
          <w:color w:val="666666"/>
          <w:sz w:val="20"/>
        </w:rPr>
        <w:t>产品从0到1搭建: 主导经营管理平台设计（覆盖销售/渠道/费用管理全链路），上线后业务数据处理效率提升50%，支撑年营收增长。</w:t>
      </w:r>
    </w:p>
    <w:p w14:paraId="08715508">
      <w:pPr>
        <w:numPr>
          <w:ilvl w:val="0"/>
          <w:numId w:val="2"/>
        </w:numPr>
        <w:spacing w:before="0" w:after="0" w:line="377" w:lineRule="exact"/>
        <w:textAlignment w:val="center"/>
      </w:pPr>
      <w:r>
        <w:rPr>
          <w:rFonts w:ascii="微软雅黑" w:hAnsi="微软雅黑" w:eastAsia="微软雅黑" w:cs="微软雅黑"/>
          <w:color w:val="666666"/>
          <w:sz w:val="20"/>
        </w:rPr>
        <w:t>项目全生命周期管理: 统筹跨部门需求分析、IT开发及测试上线，推动20+系统迭代项目，交付周期缩短。</w:t>
      </w:r>
    </w:p>
    <w:p w14:paraId="216CE6CC">
      <w:pPr>
        <w:numPr>
          <w:ilvl w:val="0"/>
          <w:numId w:val="2"/>
        </w:numPr>
        <w:spacing w:before="0" w:after="0" w:line="377" w:lineRule="exact"/>
        <w:textAlignment w:val="center"/>
      </w:pPr>
      <w:r>
        <w:rPr>
          <w:rFonts w:ascii="微软雅黑" w:hAnsi="微软雅黑" w:eastAsia="微软雅黑" w:cs="微软雅黑"/>
          <w:color w:val="666666"/>
          <w:sz w:val="20"/>
        </w:rPr>
        <w:t>业务价值闭环: 建立系统效果追踪机制，在区域试点实现销售费用率降低、客户满意度提升，形成可复制的业务变革方法论。</w:t>
      </w:r>
    </w:p>
    <w:p w14:paraId="64605A2D">
      <w:pPr>
        <w:spacing w:before="0" w:after="0" w:line="152" w:lineRule="exact"/>
        <w:jc w:val="left"/>
      </w:pPr>
    </w:p>
    <w:p w14:paraId="42876E26">
      <w:pPr>
        <w:tabs>
          <w:tab w:val="right" w:pos="9860"/>
        </w:tabs>
        <w:spacing w:before="0" w:after="0" w:line="377" w:lineRule="exact"/>
        <w:jc w:val="left"/>
        <w:textAlignment w:val="center"/>
      </w:pPr>
      <w:r>
        <w:rPr>
          <w:rFonts w:ascii="微软雅黑" w:hAnsi="微软雅黑" w:eastAsia="微软雅黑" w:cs="微软雅黑"/>
          <w:b/>
          <w:sz w:val="22"/>
        </w:rPr>
        <w:t>2010.5-2011.10</w:t>
      </w:r>
      <w:r>
        <w:rPr>
          <w:rFonts w:ascii="微软雅黑" w:hAnsi="微软雅黑" w:eastAsia="微软雅黑" w:cs="微软雅黑"/>
          <w:b/>
          <w:sz w:val="22"/>
        </w:rPr>
        <w:tab/>
      </w:r>
      <w:r>
        <w:rPr>
          <w:rFonts w:ascii="微软雅黑" w:hAnsi="微软雅黑" w:eastAsia="微软雅黑" w:cs="微软雅黑"/>
          <w:b/>
          <w:sz w:val="22"/>
        </w:rPr>
        <w:t>思科(中国)有限公司</w:t>
      </w:r>
    </w:p>
    <w:p w14:paraId="1891C971">
      <w:pPr>
        <w:spacing w:before="0" w:after="0" w:line="348" w:lineRule="exact"/>
        <w:jc w:val="left"/>
        <w:textAlignment w:val="center"/>
      </w:pPr>
      <w:r>
        <w:rPr>
          <w:rFonts w:ascii="微软雅黑" w:hAnsi="微软雅黑" w:eastAsia="微软雅黑" w:cs="微软雅黑"/>
          <w:color w:val="525252"/>
          <w:sz w:val="22"/>
        </w:rPr>
        <w:t>渠道运营经理</w:t>
      </w:r>
    </w:p>
    <w:p w14:paraId="4C5678C2">
      <w:pPr>
        <w:spacing w:before="0" w:after="0" w:line="71" w:lineRule="exact"/>
        <w:jc w:val="left"/>
      </w:pPr>
    </w:p>
    <w:p w14:paraId="3FDF043E">
      <w:pPr>
        <w:numPr>
          <w:ilvl w:val="0"/>
          <w:numId w:val="3"/>
        </w:numPr>
        <w:spacing w:before="0" w:after="0" w:line="377" w:lineRule="exact"/>
        <w:textAlignment w:val="center"/>
      </w:pPr>
      <w:r>
        <w:rPr>
          <w:rFonts w:ascii="微软雅黑" w:hAnsi="微软雅黑" w:eastAsia="微软雅黑" w:cs="微软雅黑"/>
          <w:color w:val="666666"/>
          <w:sz w:val="20"/>
        </w:rPr>
        <w:t>渠道体系搭建: 成功策划并搭建大中国区渠道运营体系，制定并执行渠道发展战略，提升核心合作伙伴业务能力，推动区域市场份额增长。</w:t>
      </w:r>
    </w:p>
    <w:p w14:paraId="51B733B2">
      <w:pPr>
        <w:numPr>
          <w:ilvl w:val="0"/>
          <w:numId w:val="3"/>
        </w:numPr>
        <w:spacing w:before="0" w:after="0" w:line="377" w:lineRule="exact"/>
        <w:textAlignment w:val="center"/>
      </w:pPr>
      <w:r>
        <w:rPr>
          <w:rFonts w:ascii="微软雅黑" w:hAnsi="微软雅黑" w:eastAsia="微软雅黑" w:cs="微软雅黑"/>
          <w:color w:val="666666"/>
          <w:sz w:val="20"/>
        </w:rPr>
        <w:t>系统本地化: 主导设计符合大中国区市场特性的渠道应用系统，完成国际项目的本地化改造，系统运行效率提升。</w:t>
      </w:r>
    </w:p>
    <w:p w14:paraId="172F5001">
      <w:pPr>
        <w:numPr>
          <w:ilvl w:val="0"/>
          <w:numId w:val="3"/>
        </w:numPr>
        <w:spacing w:before="0" w:after="0" w:line="377" w:lineRule="exact"/>
        <w:textAlignment w:val="center"/>
      </w:pPr>
      <w:r>
        <w:rPr>
          <w:rFonts w:ascii="微软雅黑" w:hAnsi="微软雅黑" w:eastAsia="微软雅黑" w:cs="微软雅黑"/>
          <w:color w:val="666666"/>
          <w:sz w:val="20"/>
        </w:rPr>
        <w:t>团队管理: 领导渠道运营团队，通过制定团队发展计划，成员专业技能达标率提升，支撑公司年度业务目标超额完成。</w:t>
      </w:r>
    </w:p>
    <w:p w14:paraId="63758F5D">
      <w:pPr>
        <w:numPr>
          <w:ilvl w:val="0"/>
          <w:numId w:val="3"/>
        </w:numPr>
        <w:spacing w:before="0" w:after="0" w:line="377" w:lineRule="exact"/>
        <w:textAlignment w:val="center"/>
      </w:pPr>
      <w:r>
        <w:rPr>
          <w:rFonts w:ascii="微软雅黑" w:hAnsi="微软雅黑" w:eastAsia="微软雅黑" w:cs="微软雅黑"/>
          <w:color w:val="666666"/>
          <w:sz w:val="20"/>
        </w:rPr>
        <w:t>运营优化: 建立渠道运营数据监控体系，通过绩效分析与流程优化，推动整体运营效率提升，年度渠道投诉率下降。</w:t>
      </w:r>
    </w:p>
    <w:p w14:paraId="491907BE">
      <w:pPr>
        <w:spacing w:before="0" w:after="0" w:line="152" w:lineRule="exact"/>
        <w:jc w:val="left"/>
      </w:pPr>
    </w:p>
    <w:p w14:paraId="62AD66BA">
      <w:pPr>
        <w:tabs>
          <w:tab w:val="right" w:pos="9860"/>
        </w:tabs>
        <w:spacing w:before="0" w:after="0" w:line="377" w:lineRule="exact"/>
        <w:jc w:val="left"/>
        <w:textAlignment w:val="center"/>
      </w:pPr>
      <w:r>
        <w:rPr>
          <w:rFonts w:ascii="微软雅黑" w:hAnsi="微软雅黑" w:eastAsia="微软雅黑" w:cs="微软雅黑"/>
          <w:b/>
          <w:sz w:val="22"/>
        </w:rPr>
        <w:t>2007.11-2010.5</w:t>
      </w:r>
      <w:r>
        <w:rPr>
          <w:rFonts w:ascii="微软雅黑" w:hAnsi="微软雅黑" w:eastAsia="微软雅黑" w:cs="微软雅黑"/>
          <w:b/>
          <w:sz w:val="22"/>
        </w:rPr>
        <w:tab/>
      </w:r>
      <w:r>
        <w:rPr>
          <w:rFonts w:ascii="微软雅黑" w:hAnsi="微软雅黑" w:eastAsia="微软雅黑" w:cs="微软雅黑"/>
          <w:b/>
          <w:sz w:val="22"/>
        </w:rPr>
        <w:t>联想(北京)有限公司</w:t>
      </w:r>
    </w:p>
    <w:p w14:paraId="165733BD">
      <w:pPr>
        <w:spacing w:before="0" w:after="0" w:line="348" w:lineRule="exact"/>
        <w:jc w:val="left"/>
        <w:textAlignment w:val="center"/>
      </w:pPr>
      <w:r>
        <w:rPr>
          <w:rFonts w:ascii="微软雅黑" w:hAnsi="微软雅黑" w:eastAsia="微软雅黑" w:cs="微软雅黑"/>
          <w:color w:val="525252"/>
          <w:sz w:val="22"/>
        </w:rPr>
        <w:t>高级项目管理经理</w:t>
      </w:r>
    </w:p>
    <w:p w14:paraId="2EE7BC1B">
      <w:pPr>
        <w:spacing w:before="0" w:after="0" w:line="71" w:lineRule="exact"/>
        <w:jc w:val="left"/>
      </w:pPr>
    </w:p>
    <w:p w14:paraId="5A16FB62">
      <w:pPr>
        <w:spacing w:before="0" w:after="0" w:line="377" w:lineRule="exact"/>
        <w:textAlignment w:val="center"/>
      </w:pPr>
      <w:r>
        <w:rPr>
          <w:rFonts w:ascii="微软雅黑" w:hAnsi="微软雅黑" w:eastAsia="微软雅黑" w:cs="微软雅黑"/>
          <w:color w:val="666666"/>
          <w:sz w:val="20"/>
        </w:rPr>
        <w:t>业务变革部</w:t>
      </w:r>
    </w:p>
    <w:p w14:paraId="7C1354F1">
      <w:pPr>
        <w:numPr>
          <w:ilvl w:val="0"/>
          <w:numId w:val="4"/>
        </w:numPr>
        <w:spacing w:before="0" w:after="0" w:line="377" w:lineRule="exact"/>
        <w:textAlignment w:val="center"/>
      </w:pPr>
      <w:r>
        <w:rPr>
          <w:rFonts w:ascii="微软雅黑" w:hAnsi="微软雅黑" w:eastAsia="微软雅黑" w:cs="微软雅黑"/>
          <w:color w:val="666666"/>
          <w:sz w:val="20"/>
        </w:rPr>
        <w:t>业务流程优化: 主导Consumer业务线全流程诊断与重构，设计端到端流程对接方案，推动运营效率提升。建立跨部门标准化协作机制，缩短业务流程周期。</w:t>
      </w:r>
    </w:p>
    <w:p w14:paraId="420EF62E">
      <w:pPr>
        <w:numPr>
          <w:ilvl w:val="0"/>
          <w:numId w:val="4"/>
        </w:numPr>
        <w:spacing w:before="0" w:after="0" w:line="377" w:lineRule="exact"/>
        <w:textAlignment w:val="center"/>
      </w:pPr>
      <w:r>
        <w:rPr>
          <w:rFonts w:ascii="微软雅黑" w:hAnsi="微软雅黑" w:eastAsia="微软雅黑" w:cs="微软雅黑"/>
          <w:color w:val="666666"/>
          <w:sz w:val="20"/>
        </w:rPr>
        <w:t>项目管理: 领导10+人跨职能团队，制定全生命周期项目计划并实施精准监控。在预算内100%按期交付重点项目，降低项目成本。</w:t>
      </w:r>
    </w:p>
    <w:p w14:paraId="4E828AB7">
      <w:pPr>
        <w:numPr>
          <w:ilvl w:val="0"/>
          <w:numId w:val="4"/>
        </w:numPr>
        <w:spacing w:before="0" w:after="0" w:line="377" w:lineRule="exact"/>
        <w:textAlignment w:val="center"/>
      </w:pPr>
      <w:r>
        <w:rPr>
          <w:rFonts w:ascii="微软雅黑" w:hAnsi="微软雅黑" w:eastAsia="微软雅黑" w:cs="微软雅黑"/>
          <w:color w:val="666666"/>
          <w:sz w:val="20"/>
        </w:rPr>
        <w:t>问题解决: 通过价值流分析识别多个关键瓶颈环节，实施敏捷改进方案使业务吞吐量提升。建立风险预警机制，提前化解80%潜在问题。</w:t>
      </w:r>
    </w:p>
    <w:p w14:paraId="39D5C01C">
      <w:pPr>
        <w:numPr>
          <w:ilvl w:val="0"/>
          <w:numId w:val="4"/>
        </w:numPr>
        <w:spacing w:before="0" w:after="0" w:line="377" w:lineRule="exact"/>
        <w:textAlignment w:val="center"/>
      </w:pPr>
      <w:r>
        <w:rPr>
          <w:rFonts w:ascii="微软雅黑" w:hAnsi="微软雅黑" w:eastAsia="微软雅黑" w:cs="微软雅黑"/>
          <w:color w:val="666666"/>
          <w:sz w:val="20"/>
        </w:rPr>
        <w:t>决策支持: 开发业务健康度评估模型，产出季度改进报告被纳入高管决策参考，推动多项战略级流程变革落地。</w:t>
      </w:r>
    </w:p>
    <w:p w14:paraId="40CADFAF">
      <w:pPr>
        <w:spacing w:before="0" w:after="0" w:line="152" w:lineRule="exact"/>
        <w:jc w:val="left"/>
      </w:pPr>
    </w:p>
    <w:p w14:paraId="4A13DA26">
      <w:pPr>
        <w:tabs>
          <w:tab w:val="right" w:pos="9860"/>
        </w:tabs>
        <w:spacing w:before="0" w:after="0" w:line="377" w:lineRule="exact"/>
        <w:jc w:val="left"/>
        <w:textAlignment w:val="center"/>
      </w:pPr>
      <w:r>
        <w:rPr>
          <w:rFonts w:ascii="微软雅黑" w:hAnsi="微软雅黑" w:eastAsia="微软雅黑" w:cs="微软雅黑"/>
          <w:b/>
          <w:sz w:val="22"/>
        </w:rPr>
        <w:t>2004.9-2007.11</w:t>
      </w:r>
      <w:r>
        <w:rPr>
          <w:rFonts w:ascii="微软雅黑" w:hAnsi="微软雅黑" w:eastAsia="微软雅黑" w:cs="微软雅黑"/>
          <w:b/>
          <w:sz w:val="22"/>
        </w:rPr>
        <w:tab/>
      </w:r>
      <w:r>
        <w:rPr>
          <w:rFonts w:ascii="微软雅黑" w:hAnsi="微软雅黑" w:eastAsia="微软雅黑" w:cs="微软雅黑"/>
          <w:b/>
          <w:sz w:val="22"/>
        </w:rPr>
        <w:t>中国惠普有限公司</w:t>
      </w:r>
    </w:p>
    <w:p w14:paraId="78415460">
      <w:pPr>
        <w:spacing w:before="0" w:after="0" w:line="348" w:lineRule="exact"/>
        <w:jc w:val="left"/>
        <w:textAlignment w:val="center"/>
      </w:pPr>
      <w:r>
        <w:rPr>
          <w:rFonts w:ascii="微软雅黑" w:hAnsi="微软雅黑" w:eastAsia="微软雅黑" w:cs="微软雅黑"/>
          <w:color w:val="525252"/>
          <w:sz w:val="22"/>
        </w:rPr>
        <w:t>IT系统运营经理</w:t>
      </w:r>
    </w:p>
    <w:p w14:paraId="52942EF8">
      <w:pPr>
        <w:spacing w:before="0" w:after="0" w:line="71" w:lineRule="exact"/>
        <w:jc w:val="left"/>
      </w:pPr>
    </w:p>
    <w:p w14:paraId="4C6E4522">
      <w:pPr>
        <w:numPr>
          <w:ilvl w:val="0"/>
          <w:numId w:val="5"/>
        </w:numPr>
        <w:spacing w:before="0" w:after="0" w:line="377" w:lineRule="exact"/>
        <w:textAlignment w:val="center"/>
      </w:pPr>
      <w:r>
        <w:rPr>
          <w:rFonts w:ascii="微软雅黑" w:hAnsi="微软雅黑" w:eastAsia="微软雅黑" w:cs="微软雅黑"/>
          <w:color w:val="666666"/>
          <w:sz w:val="20"/>
        </w:rPr>
        <w:t>IT运维体系构建: 基于ITIL框架设计并实施标准化IT运维流程，建立高效率运维体系，系统可用性提升。</w:t>
      </w:r>
    </w:p>
    <w:p w14:paraId="381D0411">
      <w:pPr>
        <w:numPr>
          <w:ilvl w:val="0"/>
          <w:numId w:val="5"/>
        </w:numPr>
        <w:spacing w:before="0" w:after="0" w:line="377" w:lineRule="exact"/>
        <w:textAlignment w:val="center"/>
      </w:pPr>
      <w:r>
        <w:rPr>
          <w:rFonts w:ascii="微软雅黑" w:hAnsi="微软雅黑" w:eastAsia="微软雅黑" w:cs="微软雅黑"/>
          <w:color w:val="666666"/>
          <w:sz w:val="20"/>
        </w:rPr>
        <w:t>运维监控与优化: 监督日常IT系统运维活动，通过持续优化流程使系统稳定性提高，故障响应时间缩短。</w:t>
      </w:r>
    </w:p>
    <w:p w14:paraId="371C83B6">
      <w:pPr>
        <w:numPr>
          <w:ilvl w:val="0"/>
          <w:numId w:val="5"/>
        </w:numPr>
        <w:spacing w:before="0" w:after="0" w:line="377" w:lineRule="exact"/>
        <w:textAlignment w:val="center"/>
      </w:pPr>
      <w:r>
        <w:rPr>
          <w:rFonts w:ascii="微软雅黑" w:hAnsi="微软雅黑" w:eastAsia="微软雅黑" w:cs="微软雅黑"/>
          <w:color w:val="666666"/>
          <w:sz w:val="20"/>
        </w:rPr>
        <w:t>跨部门协同创新: 主导协调市场、研发等多部门，推动多项核心运维流程创新改进，整体运维效率提升。</w:t>
      </w:r>
    </w:p>
    <w:p w14:paraId="2A20758E">
      <w:pPr>
        <w:numPr>
          <w:ilvl w:val="0"/>
          <w:numId w:val="5"/>
        </w:numPr>
        <w:spacing w:before="0" w:after="0" w:line="377" w:lineRule="exact"/>
        <w:textAlignment w:val="center"/>
      </w:pPr>
      <w:r>
        <w:rPr>
          <w:rFonts w:ascii="微软雅黑" w:hAnsi="微软雅黑" w:eastAsia="微软雅黑" w:cs="微软雅黑"/>
          <w:color w:val="666666"/>
          <w:sz w:val="20"/>
        </w:rPr>
        <w:t>战略级运维规划: 制定符合业务战略的IT运维年度计划，确保100%符合ISO20000国际认证标准。</w:t>
      </w:r>
    </w:p>
    <w:p w14:paraId="152812E4">
      <w:pPr>
        <w:numPr>
          <w:ilvl w:val="0"/>
          <w:numId w:val="5"/>
        </w:numPr>
        <w:spacing w:before="0" w:after="0" w:line="377" w:lineRule="exact"/>
        <w:textAlignment w:val="center"/>
      </w:pPr>
      <w:r>
        <w:rPr>
          <w:rFonts w:ascii="微软雅黑" w:hAnsi="微软雅黑" w:eastAsia="微软雅黑" w:cs="微软雅黑"/>
          <w:color w:val="666666"/>
          <w:sz w:val="20"/>
        </w:rPr>
        <w:t>团队能力建设: 组织多场运维专题培训，建立知识共享机制，团队认证通过率达90%以上，客户满意度提升至4.8/5分。</w:t>
      </w:r>
    </w:p>
    <w:p w14:paraId="52C20579">
      <w:pPr>
        <w:spacing w:before="0" w:after="0" w:line="152" w:lineRule="exact"/>
        <w:jc w:val="left"/>
      </w:pPr>
    </w:p>
    <w:p w14:paraId="76C4DD7F">
      <w:pPr>
        <w:tabs>
          <w:tab w:val="right" w:pos="9860"/>
        </w:tabs>
        <w:spacing w:before="0" w:after="0" w:line="377" w:lineRule="exact"/>
        <w:jc w:val="left"/>
        <w:textAlignment w:val="center"/>
      </w:pPr>
      <w:r>
        <w:rPr>
          <w:rFonts w:ascii="微软雅黑" w:hAnsi="微软雅黑" w:eastAsia="微软雅黑" w:cs="微软雅黑"/>
          <w:b/>
          <w:sz w:val="22"/>
        </w:rPr>
        <w:t>2001.7-2004.9</w:t>
      </w:r>
      <w:r>
        <w:rPr>
          <w:rFonts w:ascii="微软雅黑" w:hAnsi="微软雅黑" w:eastAsia="微软雅黑" w:cs="微软雅黑"/>
          <w:b/>
          <w:sz w:val="22"/>
        </w:rPr>
        <w:tab/>
      </w:r>
      <w:r>
        <w:rPr>
          <w:rFonts w:ascii="微软雅黑" w:hAnsi="微软雅黑" w:eastAsia="微软雅黑" w:cs="微软雅黑"/>
          <w:b/>
          <w:sz w:val="22"/>
        </w:rPr>
        <w:t>浪潮软件公司</w:t>
      </w:r>
    </w:p>
    <w:p w14:paraId="66A0272F">
      <w:pPr>
        <w:spacing w:before="0" w:after="0" w:line="348" w:lineRule="exact"/>
        <w:jc w:val="left"/>
        <w:textAlignment w:val="center"/>
      </w:pPr>
      <w:r>
        <w:rPr>
          <w:rFonts w:ascii="微软雅黑" w:hAnsi="微软雅黑" w:eastAsia="微软雅黑" w:cs="微软雅黑"/>
          <w:color w:val="525252"/>
          <w:sz w:val="22"/>
        </w:rPr>
        <w:t>软件开发/售前支持</w:t>
      </w:r>
    </w:p>
    <w:p w14:paraId="6713FA75">
      <w:pPr>
        <w:spacing w:before="0" w:after="0" w:line="71" w:lineRule="exact"/>
        <w:jc w:val="left"/>
      </w:pPr>
    </w:p>
    <w:p w14:paraId="10068F9F">
      <w:pPr>
        <w:spacing w:before="0" w:after="0" w:line="377" w:lineRule="exact"/>
        <w:textAlignment w:val="center"/>
      </w:pPr>
      <w:r>
        <w:rPr>
          <w:rFonts w:ascii="微软雅黑" w:hAnsi="微软雅黑" w:eastAsia="微软雅黑" w:cs="微软雅黑"/>
          <w:color w:val="666666"/>
          <w:sz w:val="20"/>
        </w:rPr>
        <w:t>负责软件平台在电子政务领域的深度需求分析与精细化设计，确保每一项功能都能精准匹配客户的具体需求，同时严格遵循行业规范，确保产品的先进性和适用性。在软件开发的全流程中，参与并推动了编码、测试、部署以及后续维护工作，致力于提升软件的稳定性和整体性能，确保用户体验的极致优化。积极参与售前技术支持工作，与销售团队紧密合作，通过精彩的产品演示、深入的技术交流以及专业方案的制定，有力支持了项目的成功签约。同时，主导了客户需求调研，撰写并优化了技术方案与投标文件，确保方案的实施方案既切实可行又具备市场竞争力。在项目实施过程中，负责协调研发团队与客户之间的技术沟通，有效解决项目实施过程中的技术难题，确保项目顺利进行。还密切关注行业技术动态，持续跟进并创新电子政务软件平台的职能与架构，以确保其始终保持在行业前沿的位置。</w:t>
      </w:r>
    </w:p>
    <w:p w14:paraId="7DCFBFC6">
      <w:pPr>
        <w:spacing w:before="0" w:after="0" w:line="290" w:lineRule="exact"/>
        <w:jc w:val="left"/>
      </w:pPr>
    </w:p>
    <w:p w14:paraId="6A07C454">
      <w:pPr>
        <w:spacing w:before="0" w:after="0" w:line="275" w:lineRule="exact"/>
        <w:ind w:left="0"/>
        <w:textAlignment w:val="center"/>
        <w:rPr>
          <w:sz w:val="21"/>
        </w:rPr>
      </w:pPr>
      <w:r>
        <w:rPr>
          <w:rFonts w:ascii="微软雅黑" w:hAnsi="微软雅黑" w:eastAsia="微软雅黑" w:cs="微软雅黑"/>
          <w:b/>
          <w:color w:val="555555"/>
          <w:sz w:val="26"/>
        </w:rPr>
        <w:t>项目经历</w:t>
      </w:r>
    </w:p>
    <w:p w14:paraId="7F6E346F">
      <w:pPr>
        <w:spacing w:before="0" w:after="0" w:line="14" w:lineRule="exact"/>
        <w:rPr>
          <w:sz w:val="21"/>
        </w:rPr>
      </w:pPr>
    </w:p>
    <w:p w14:paraId="1F2CCB3A">
      <w:pPr>
        <w:spacing w:before="0" w:after="0" w:line="152" w:lineRule="exact"/>
        <w:rPr>
          <w:rFonts w:hint="eastAsia" w:eastAsiaTheme="minorEastAsia"/>
          <w:sz w:val="21"/>
          <w:lang w:val="en-US" w:eastAsia="zh-CN"/>
        </w:rPr>
      </w:pPr>
    </w:p>
    <w:p w14:paraId="2119905B">
      <w:pPr>
        <w:tabs>
          <w:tab w:val="right" w:pos="9860"/>
        </w:tabs>
        <w:spacing w:before="0" w:after="0" w:line="377" w:lineRule="exact"/>
        <w:jc w:val="left"/>
        <w:textAlignment w:val="center"/>
      </w:pPr>
      <w:r>
        <w:rPr>
          <w:rFonts w:ascii="微软雅黑" w:hAnsi="微软雅黑" w:eastAsia="微软雅黑" w:cs="微软雅黑"/>
          <w:b/>
          <w:sz w:val="22"/>
        </w:rPr>
        <w:t>2023.4-2025.8</w:t>
      </w:r>
      <w:r>
        <w:rPr>
          <w:rFonts w:ascii="微软雅黑" w:hAnsi="微软雅黑" w:eastAsia="微软雅黑" w:cs="微软雅黑"/>
          <w:b/>
          <w:sz w:val="22"/>
        </w:rPr>
        <w:tab/>
      </w:r>
      <w:r>
        <w:rPr>
          <w:rFonts w:ascii="微软雅黑" w:hAnsi="微软雅黑" w:eastAsia="微软雅黑" w:cs="微软雅黑"/>
          <w:b/>
          <w:sz w:val="22"/>
        </w:rPr>
        <w:t>业务智能运营管理平台建设</w:t>
      </w:r>
    </w:p>
    <w:p w14:paraId="1E597E6A">
      <w:pPr>
        <w:spacing w:before="0" w:after="0" w:line="71" w:lineRule="exact"/>
        <w:jc w:val="left"/>
      </w:pPr>
    </w:p>
    <w:p w14:paraId="1B9D916B">
      <w:pPr>
        <w:spacing w:before="0" w:after="0" w:line="377" w:lineRule="exact"/>
        <w:textAlignment w:val="center"/>
      </w:pPr>
      <w:r>
        <w:rPr>
          <w:rFonts w:ascii="微软雅黑" w:hAnsi="微软雅黑" w:eastAsia="微软雅黑" w:cs="微软雅黑"/>
          <w:b/>
          <w:color w:val="666666"/>
          <w:sz w:val="20"/>
        </w:rPr>
        <w:t>项目背景</w:t>
      </w:r>
    </w:p>
    <w:p w14:paraId="4C853E96">
      <w:pPr>
        <w:spacing w:before="0" w:after="0" w:line="377" w:lineRule="exact"/>
        <w:ind w:left="0"/>
        <w:textAlignment w:val="center"/>
      </w:pPr>
      <w:r>
        <w:rPr>
          <w:rFonts w:ascii="微软雅黑" w:hAnsi="微软雅黑" w:eastAsia="微软雅黑" w:cs="微软雅黑"/>
          <w:color w:val="666666"/>
          <w:sz w:val="20"/>
        </w:rPr>
        <w:t>主导建设智能运营管理平台，旨在通过数字化手段提升企业内部协作效率、销售管理、商务运营及项目管理能力，实现运营效率和信息化水平的飞跃性提升。</w:t>
      </w:r>
    </w:p>
    <w:p w14:paraId="38C549F7">
      <w:pPr>
        <w:spacing w:before="0" w:after="0" w:line="377" w:lineRule="exact"/>
        <w:ind w:left="0"/>
        <w:textAlignment w:val="center"/>
      </w:pPr>
      <w:r>
        <w:rPr>
          <w:rFonts w:ascii="微软雅黑" w:hAnsi="微软雅黑" w:eastAsia="微软雅黑" w:cs="微软雅黑"/>
          <w:b/>
          <w:color w:val="666666"/>
          <w:sz w:val="20"/>
        </w:rPr>
        <w:t>项目职责</w:t>
      </w:r>
    </w:p>
    <w:p w14:paraId="2219FE75">
      <w:pPr>
        <w:numPr>
          <w:ilvl w:val="0"/>
          <w:numId w:val="6"/>
        </w:numPr>
        <w:spacing w:before="0" w:after="0" w:line="377" w:lineRule="exact"/>
        <w:textAlignment w:val="center"/>
      </w:pPr>
      <w:r>
        <w:rPr>
          <w:rFonts w:ascii="微软雅黑" w:hAnsi="微软雅黑" w:eastAsia="微软雅黑" w:cs="微软雅黑"/>
          <w:color w:val="666666"/>
          <w:sz w:val="20"/>
        </w:rPr>
        <w:t>作为产品经理全面负责平台的设计、规划和实施工作，确保平台精准契合企业实际需求，深入参与项目全流程管理，通过优化成本与收益控制实现效益最大化</w:t>
      </w:r>
    </w:p>
    <w:p w14:paraId="04951DAF">
      <w:pPr>
        <w:spacing w:before="0" w:after="0" w:line="377" w:lineRule="exact"/>
        <w:ind w:left="0"/>
        <w:textAlignment w:val="center"/>
      </w:pPr>
      <w:r>
        <w:rPr>
          <w:rFonts w:ascii="微软雅黑" w:hAnsi="微软雅黑" w:eastAsia="微软雅黑" w:cs="微软雅黑"/>
          <w:b/>
          <w:color w:val="666666"/>
          <w:sz w:val="20"/>
        </w:rPr>
        <w:t>解决方案</w:t>
      </w:r>
    </w:p>
    <w:p w14:paraId="302B851E">
      <w:pPr>
        <w:numPr>
          <w:ilvl w:val="0"/>
          <w:numId w:val="7"/>
        </w:numPr>
        <w:spacing w:before="0" w:after="0" w:line="377" w:lineRule="exact"/>
        <w:textAlignment w:val="center"/>
      </w:pPr>
      <w:r>
        <w:rPr>
          <w:rFonts w:ascii="微软雅黑" w:hAnsi="微软雅黑" w:eastAsia="微软雅黑" w:cs="微软雅黑"/>
          <w:color w:val="666666"/>
          <w:sz w:val="20"/>
        </w:rPr>
        <w:t>采用模块化设计理念，构建包含协作、销售、商务、项目管理等功能的一体化平台，建立需求调研机制，通过部门访谈收集核心需求，确保产品与业务高度匹配</w:t>
      </w:r>
    </w:p>
    <w:p w14:paraId="4C901961">
      <w:pPr>
        <w:spacing w:before="0" w:after="0" w:line="377" w:lineRule="exact"/>
        <w:ind w:left="0"/>
        <w:textAlignment w:val="center"/>
      </w:pPr>
      <w:r>
        <w:rPr>
          <w:rFonts w:ascii="微软雅黑" w:hAnsi="微软雅黑" w:eastAsia="微软雅黑" w:cs="微软雅黑"/>
          <w:b/>
          <w:color w:val="666666"/>
          <w:sz w:val="20"/>
        </w:rPr>
        <w:t>项目成果</w:t>
      </w:r>
    </w:p>
    <w:p w14:paraId="31A0F6D2">
      <w:pPr>
        <w:numPr>
          <w:ilvl w:val="0"/>
          <w:numId w:val="8"/>
        </w:numPr>
        <w:spacing w:before="0" w:after="0" w:line="377" w:lineRule="exact"/>
        <w:textAlignment w:val="center"/>
      </w:pPr>
      <w:r>
        <w:rPr>
          <w:rFonts w:ascii="微软雅黑" w:hAnsi="微软雅黑" w:eastAsia="微软雅黑" w:cs="微软雅黑"/>
          <w:color w:val="666666"/>
          <w:sz w:val="20"/>
        </w:rPr>
        <w:t>推动企业运营效率提升，关键业务流程处理时间缩短，建立标准化运营管理体系，使跨部门协作效率提升显著，获得管理层高度认可</w:t>
      </w:r>
    </w:p>
    <w:p w14:paraId="36DB9FD4">
      <w:pPr>
        <w:spacing w:before="0" w:after="0" w:line="152" w:lineRule="exact"/>
        <w:jc w:val="left"/>
      </w:pPr>
    </w:p>
    <w:p w14:paraId="1A858A55">
      <w:pPr>
        <w:tabs>
          <w:tab w:val="right" w:pos="9860"/>
        </w:tabs>
        <w:spacing w:before="0" w:after="0" w:line="377" w:lineRule="exact"/>
        <w:jc w:val="left"/>
        <w:textAlignment w:val="center"/>
      </w:pPr>
      <w:r>
        <w:rPr>
          <w:rFonts w:ascii="微软雅黑" w:hAnsi="微软雅黑" w:eastAsia="微软雅黑" w:cs="微软雅黑"/>
          <w:b/>
          <w:sz w:val="22"/>
        </w:rPr>
        <w:t>2019.10-2021.10</w:t>
      </w:r>
      <w:r>
        <w:rPr>
          <w:rFonts w:ascii="微软雅黑" w:hAnsi="微软雅黑" w:eastAsia="微软雅黑" w:cs="微软雅黑"/>
          <w:b/>
          <w:sz w:val="22"/>
        </w:rPr>
        <w:tab/>
      </w:r>
      <w:r>
        <w:rPr>
          <w:rFonts w:ascii="微软雅黑" w:hAnsi="微软雅黑" w:eastAsia="微软雅黑" w:cs="微软雅黑"/>
          <w:b/>
          <w:sz w:val="22"/>
        </w:rPr>
        <w:t>联想海外CRM迁移项目-Nitrogen</w:t>
      </w:r>
    </w:p>
    <w:p w14:paraId="3D323F8F">
      <w:pPr>
        <w:spacing w:before="0" w:after="0" w:line="71" w:lineRule="exact"/>
        <w:jc w:val="left"/>
      </w:pPr>
    </w:p>
    <w:p w14:paraId="3BC6788B">
      <w:pPr>
        <w:spacing w:before="0" w:after="0" w:line="377" w:lineRule="exact"/>
        <w:textAlignment w:val="center"/>
      </w:pPr>
      <w:r>
        <w:rPr>
          <w:rFonts w:ascii="微软雅黑" w:hAnsi="微软雅黑" w:eastAsia="微软雅黑" w:cs="微软雅黑"/>
          <w:b/>
          <w:color w:val="666666"/>
          <w:sz w:val="20"/>
        </w:rPr>
        <w:t>项目背景</w:t>
      </w:r>
    </w:p>
    <w:p w14:paraId="3698606A">
      <w:pPr>
        <w:spacing w:before="0" w:after="0" w:line="377" w:lineRule="exact"/>
        <w:ind w:left="0"/>
        <w:textAlignment w:val="center"/>
      </w:pPr>
      <w:r>
        <w:rPr>
          <w:rFonts w:ascii="微软雅黑" w:hAnsi="微软雅黑" w:eastAsia="微软雅黑" w:cs="微软雅黑"/>
          <w:color w:val="666666"/>
          <w:sz w:val="20"/>
        </w:rPr>
        <w:t>主导联想海外CRM系统从Salesforce平台迁移至Microsoft D365系统的项目，涉及北美、西欧及亚太区多个国家的业务连续性保障。</w:t>
      </w:r>
    </w:p>
    <w:p w14:paraId="64FB178A">
      <w:pPr>
        <w:spacing w:before="0" w:after="0" w:line="377" w:lineRule="exact"/>
        <w:ind w:left="0"/>
        <w:textAlignment w:val="center"/>
      </w:pPr>
      <w:r>
        <w:rPr>
          <w:rFonts w:ascii="微软雅黑" w:hAnsi="微软雅黑" w:eastAsia="微软雅黑" w:cs="微软雅黑"/>
          <w:b/>
          <w:color w:val="666666"/>
          <w:sz w:val="20"/>
        </w:rPr>
        <w:t>项目职责</w:t>
      </w:r>
    </w:p>
    <w:p w14:paraId="4F6C92AD">
      <w:pPr>
        <w:numPr>
          <w:ilvl w:val="0"/>
          <w:numId w:val="9"/>
        </w:numPr>
        <w:spacing w:before="0" w:after="0" w:line="377" w:lineRule="exact"/>
        <w:textAlignment w:val="center"/>
      </w:pPr>
      <w:r>
        <w:rPr>
          <w:rFonts w:ascii="微软雅黑" w:hAnsi="微软雅黑" w:eastAsia="微软雅黑" w:cs="微软雅黑"/>
          <w:color w:val="666666"/>
          <w:sz w:val="20"/>
        </w:rPr>
        <w:t>作为CRM专家全面负责系统迁移方案设计、跨区域协调及关键问题解决</w:t>
      </w:r>
    </w:p>
    <w:p w14:paraId="66E45595">
      <w:pPr>
        <w:numPr>
          <w:ilvl w:val="0"/>
          <w:numId w:val="9"/>
        </w:numPr>
        <w:spacing w:before="0" w:after="0" w:line="377" w:lineRule="exact"/>
        <w:textAlignment w:val="center"/>
      </w:pPr>
      <w:r>
        <w:rPr>
          <w:rFonts w:ascii="微软雅黑" w:hAnsi="微软雅黑" w:eastAsia="微软雅黑" w:cs="微软雅黑"/>
          <w:color w:val="666666"/>
          <w:sz w:val="20"/>
        </w:rPr>
        <w:t>统筹200+工作流迁移与销售流程优化，确保各区域业务无缝过渡</w:t>
      </w:r>
    </w:p>
    <w:p w14:paraId="59F28A24">
      <w:pPr>
        <w:spacing w:before="0" w:after="0" w:line="377" w:lineRule="exact"/>
        <w:ind w:left="0"/>
        <w:textAlignment w:val="center"/>
      </w:pPr>
      <w:r>
        <w:rPr>
          <w:rFonts w:ascii="微软雅黑" w:hAnsi="微软雅黑" w:eastAsia="微软雅黑" w:cs="微软雅黑"/>
          <w:b/>
          <w:color w:val="666666"/>
          <w:sz w:val="20"/>
        </w:rPr>
        <w:t>解决方案</w:t>
      </w:r>
    </w:p>
    <w:p w14:paraId="2275E263">
      <w:pPr>
        <w:numPr>
          <w:ilvl w:val="0"/>
          <w:numId w:val="10"/>
        </w:numPr>
        <w:spacing w:before="0" w:after="0" w:line="377" w:lineRule="exact"/>
        <w:textAlignment w:val="center"/>
      </w:pPr>
      <w:r>
        <w:rPr>
          <w:rFonts w:ascii="微软雅黑" w:hAnsi="微软雅黑" w:eastAsia="微软雅黑" w:cs="微软雅黑"/>
          <w:color w:val="666666"/>
          <w:sz w:val="20"/>
        </w:rPr>
        <w:t>设计统一的国家客户主数据结构，提升数据一致性与准确性，针对印度、巴西等特殊市场深入研究当地法律税收政策，制定合规迁移方案</w:t>
      </w:r>
    </w:p>
    <w:p w14:paraId="5581413B">
      <w:pPr>
        <w:numPr>
          <w:ilvl w:val="0"/>
          <w:numId w:val="10"/>
        </w:numPr>
        <w:spacing w:before="0" w:after="0" w:line="377" w:lineRule="exact"/>
        <w:textAlignment w:val="center"/>
      </w:pPr>
      <w:r>
        <w:rPr>
          <w:rFonts w:ascii="微软雅黑" w:hAnsi="微软雅黑" w:eastAsia="微软雅黑" w:cs="微软雅黑"/>
          <w:color w:val="666666"/>
          <w:sz w:val="20"/>
        </w:rPr>
        <w:t>重构pipeline stage定义，优化项目执行流程效率</w:t>
      </w:r>
    </w:p>
    <w:p w14:paraId="1E3120BC">
      <w:pPr>
        <w:spacing w:before="0" w:after="0" w:line="377" w:lineRule="exact"/>
        <w:ind w:left="0"/>
        <w:textAlignment w:val="center"/>
      </w:pPr>
      <w:r>
        <w:rPr>
          <w:rFonts w:ascii="微软雅黑" w:hAnsi="微软雅黑" w:eastAsia="微软雅黑" w:cs="微软雅黑"/>
          <w:b/>
          <w:color w:val="666666"/>
          <w:sz w:val="20"/>
        </w:rPr>
        <w:t>项目成果</w:t>
      </w:r>
    </w:p>
    <w:p w14:paraId="22C4E356">
      <w:pPr>
        <w:numPr>
          <w:ilvl w:val="0"/>
          <w:numId w:val="11"/>
        </w:numPr>
        <w:spacing w:before="0" w:after="0" w:line="377" w:lineRule="exact"/>
        <w:textAlignment w:val="center"/>
      </w:pPr>
      <w:r>
        <w:rPr>
          <w:rFonts w:ascii="微软雅黑" w:hAnsi="微软雅黑" w:eastAsia="微软雅黑" w:cs="微软雅黑"/>
          <w:color w:val="666666"/>
          <w:sz w:val="20"/>
        </w:rPr>
        <w:t>完成X个核心功能模块迁移，系统切换后业务中断时间为零，销售团队工作效率提升X%，通过标准化流程缩短销售周期</w:t>
      </w:r>
    </w:p>
    <w:p w14:paraId="5BD158D3">
      <w:pPr>
        <w:numPr>
          <w:ilvl w:val="0"/>
          <w:numId w:val="11"/>
        </w:numPr>
        <w:spacing w:before="0" w:after="0" w:line="377" w:lineRule="exact"/>
        <w:textAlignment w:val="center"/>
      </w:pPr>
      <w:r>
        <w:rPr>
          <w:rFonts w:ascii="微软雅黑" w:hAnsi="微软雅黑" w:eastAsia="微软雅黑" w:cs="微软雅黑"/>
          <w:color w:val="666666"/>
          <w:sz w:val="20"/>
        </w:rPr>
        <w:t>建立符合GDPR等多国法规的数据治理体系，降低合规风险</w:t>
      </w:r>
    </w:p>
    <w:p w14:paraId="3EA00219">
      <w:pPr>
        <w:spacing w:before="0" w:after="0" w:line="152" w:lineRule="exact"/>
        <w:jc w:val="left"/>
      </w:pPr>
    </w:p>
    <w:p w14:paraId="2A453E0F">
      <w:pPr>
        <w:tabs>
          <w:tab w:val="right" w:pos="9860"/>
        </w:tabs>
        <w:spacing w:before="0" w:after="0" w:line="377" w:lineRule="exact"/>
        <w:jc w:val="left"/>
        <w:textAlignment w:val="center"/>
      </w:pPr>
      <w:r>
        <w:rPr>
          <w:rFonts w:ascii="微软雅黑" w:hAnsi="微软雅黑" w:eastAsia="微软雅黑" w:cs="微软雅黑"/>
          <w:b/>
          <w:sz w:val="22"/>
        </w:rPr>
        <w:t>2013.6-2015.6</w:t>
      </w:r>
      <w:r>
        <w:rPr>
          <w:rFonts w:ascii="微软雅黑" w:hAnsi="微软雅黑" w:eastAsia="微软雅黑" w:cs="微软雅黑"/>
          <w:b/>
          <w:sz w:val="22"/>
        </w:rPr>
        <w:tab/>
      </w:r>
      <w:r>
        <w:rPr>
          <w:rFonts w:ascii="微软雅黑" w:hAnsi="微软雅黑" w:eastAsia="微软雅黑" w:cs="微软雅黑"/>
          <w:b/>
          <w:sz w:val="22"/>
        </w:rPr>
        <w:t>联想海外渠道合作伙伴及线上渠道投标系统</w:t>
      </w:r>
    </w:p>
    <w:p w14:paraId="47329534">
      <w:pPr>
        <w:spacing w:before="0" w:after="0" w:line="71" w:lineRule="exact"/>
        <w:jc w:val="left"/>
      </w:pPr>
    </w:p>
    <w:p w14:paraId="69F1BCC4">
      <w:pPr>
        <w:spacing w:before="0" w:after="0" w:line="377" w:lineRule="exact"/>
        <w:textAlignment w:val="center"/>
      </w:pPr>
      <w:r>
        <w:rPr>
          <w:rFonts w:ascii="微软雅黑" w:hAnsi="微软雅黑" w:eastAsia="微软雅黑" w:cs="微软雅黑"/>
          <w:b/>
          <w:color w:val="666666"/>
          <w:sz w:val="20"/>
        </w:rPr>
        <w:t>项目背景</w:t>
      </w:r>
    </w:p>
    <w:p w14:paraId="1046256F">
      <w:pPr>
        <w:spacing w:before="0" w:after="0" w:line="377" w:lineRule="exact"/>
        <w:ind w:left="0"/>
        <w:textAlignment w:val="center"/>
      </w:pPr>
      <w:r>
        <w:rPr>
          <w:rFonts w:ascii="微软雅黑" w:hAnsi="微软雅黑" w:eastAsia="微软雅黑" w:cs="微软雅黑"/>
          <w:color w:val="666666"/>
          <w:sz w:val="20"/>
        </w:rPr>
        <w:t>联想海外渠道合作伙伴网及渠道投标系统项目旨在优化合作伙伴业务流程，满足西欧渠道伙伴日益增长的服务需求和高效的线上投标议价流程。</w:t>
      </w:r>
    </w:p>
    <w:p w14:paraId="0C3BF50E">
      <w:pPr>
        <w:spacing w:before="0" w:after="0" w:line="377" w:lineRule="exact"/>
        <w:ind w:left="0"/>
        <w:textAlignment w:val="center"/>
      </w:pPr>
      <w:r>
        <w:rPr>
          <w:rFonts w:ascii="微软雅黑" w:hAnsi="微软雅黑" w:eastAsia="微软雅黑" w:cs="微软雅黑"/>
          <w:b/>
          <w:color w:val="666666"/>
          <w:sz w:val="20"/>
        </w:rPr>
        <w:t>项目职责</w:t>
      </w:r>
    </w:p>
    <w:p w14:paraId="29262894">
      <w:pPr>
        <w:numPr>
          <w:ilvl w:val="0"/>
          <w:numId w:val="12"/>
        </w:numPr>
        <w:spacing w:before="0" w:after="0" w:line="377" w:lineRule="exact"/>
        <w:textAlignment w:val="center"/>
      </w:pPr>
      <w:r>
        <w:rPr>
          <w:rFonts w:ascii="微软雅黑" w:hAnsi="微软雅黑" w:eastAsia="微软雅黑" w:cs="微软雅黑"/>
          <w:color w:val="666666"/>
          <w:sz w:val="20"/>
        </w:rPr>
        <w:t>担任核心产品经理，主导业务能力重构与系统功能创新设计，深入挖掘并优化合作伙伴业务流程，打造全方位统一平台</w:t>
      </w:r>
    </w:p>
    <w:p w14:paraId="6E535FB3">
      <w:pPr>
        <w:spacing w:before="0" w:after="0" w:line="377" w:lineRule="exact"/>
        <w:ind w:left="0"/>
        <w:textAlignment w:val="center"/>
      </w:pPr>
      <w:r>
        <w:rPr>
          <w:rFonts w:ascii="微软雅黑" w:hAnsi="微软雅黑" w:eastAsia="微软雅黑" w:cs="微软雅黑"/>
          <w:b/>
          <w:color w:val="666666"/>
          <w:sz w:val="20"/>
        </w:rPr>
        <w:t>解决方案</w:t>
      </w:r>
    </w:p>
    <w:p w14:paraId="31B5463A">
      <w:pPr>
        <w:numPr>
          <w:ilvl w:val="0"/>
          <w:numId w:val="13"/>
        </w:numPr>
        <w:spacing w:before="0" w:after="0" w:line="377" w:lineRule="exact"/>
        <w:textAlignment w:val="center"/>
      </w:pPr>
      <w:r>
        <w:rPr>
          <w:rFonts w:ascii="微软雅黑" w:hAnsi="微软雅黑" w:eastAsia="微软雅黑" w:cs="微软雅黑"/>
          <w:color w:val="666666"/>
          <w:sz w:val="20"/>
        </w:rPr>
        <w:t>设计并实施端到端的线上投标议价系统，整合多方业务需求，开发统一平台功能模块，实现业务流程标准化和自动化</w:t>
      </w:r>
    </w:p>
    <w:p w14:paraId="6EB54127">
      <w:pPr>
        <w:spacing w:before="0" w:after="0" w:line="377" w:lineRule="exact"/>
        <w:ind w:left="0"/>
        <w:textAlignment w:val="center"/>
      </w:pPr>
      <w:r>
        <w:rPr>
          <w:rFonts w:ascii="微软雅黑" w:hAnsi="微软雅黑" w:eastAsia="微软雅黑" w:cs="微软雅黑"/>
          <w:b/>
          <w:color w:val="666666"/>
          <w:sz w:val="20"/>
        </w:rPr>
        <w:t>项目成果</w:t>
      </w:r>
    </w:p>
    <w:p w14:paraId="55131509">
      <w:pPr>
        <w:numPr>
          <w:ilvl w:val="0"/>
          <w:numId w:val="14"/>
        </w:numPr>
        <w:spacing w:before="0" w:after="0" w:line="377" w:lineRule="exact"/>
        <w:textAlignment w:val="center"/>
      </w:pPr>
      <w:r>
        <w:rPr>
          <w:rFonts w:ascii="微软雅黑" w:hAnsi="微软雅黑" w:eastAsia="微软雅黑" w:cs="微软雅黑"/>
          <w:color w:val="666666"/>
          <w:sz w:val="20"/>
        </w:rPr>
        <w:t>将80%渠道合作伙伴的议价流程从线下1周缩短至线上5分钟，效率提升大幅提升， 显著提升业务协同效率，促进合作伙伴业务增长。</w:t>
      </w:r>
    </w:p>
    <w:p w14:paraId="56668818">
      <w:pPr>
        <w:spacing w:before="0" w:after="0" w:line="152" w:lineRule="exact"/>
        <w:jc w:val="left"/>
      </w:pPr>
    </w:p>
    <w:p w14:paraId="773C2650">
      <w:pPr>
        <w:tabs>
          <w:tab w:val="right" w:pos="9860"/>
        </w:tabs>
        <w:spacing w:before="0" w:after="0" w:line="377" w:lineRule="exact"/>
        <w:jc w:val="left"/>
        <w:textAlignment w:val="center"/>
      </w:pPr>
      <w:r>
        <w:rPr>
          <w:rFonts w:ascii="微软雅黑" w:hAnsi="微软雅黑" w:eastAsia="微软雅黑" w:cs="微软雅黑"/>
          <w:b/>
          <w:sz w:val="22"/>
        </w:rPr>
        <w:t>2011.5-2013.1</w:t>
      </w:r>
      <w:r>
        <w:rPr>
          <w:rFonts w:ascii="微软雅黑" w:hAnsi="微软雅黑" w:eastAsia="微软雅黑" w:cs="微软雅黑"/>
          <w:b/>
          <w:sz w:val="22"/>
        </w:rPr>
        <w:tab/>
      </w:r>
      <w:r>
        <w:rPr>
          <w:rFonts w:ascii="微软雅黑" w:hAnsi="微软雅黑" w:eastAsia="微软雅黑" w:cs="微软雅黑"/>
          <w:b/>
          <w:sz w:val="22"/>
        </w:rPr>
        <w:t>联想海外ERP迁移项目-victory</w:t>
      </w:r>
    </w:p>
    <w:p w14:paraId="699D37E5">
      <w:pPr>
        <w:spacing w:before="0" w:after="0" w:line="71" w:lineRule="exact"/>
        <w:jc w:val="left"/>
      </w:pPr>
    </w:p>
    <w:p w14:paraId="780A17CA">
      <w:pPr>
        <w:spacing w:before="0" w:after="0" w:line="377" w:lineRule="exact"/>
        <w:textAlignment w:val="center"/>
      </w:pPr>
      <w:r>
        <w:rPr>
          <w:rFonts w:ascii="微软雅黑" w:hAnsi="微软雅黑" w:eastAsia="微软雅黑" w:cs="微软雅黑"/>
          <w:b/>
          <w:color w:val="666666"/>
          <w:sz w:val="20"/>
        </w:rPr>
        <w:t>项目背景</w:t>
      </w:r>
    </w:p>
    <w:p w14:paraId="6E559267">
      <w:pPr>
        <w:spacing w:before="0" w:after="0" w:line="377" w:lineRule="exact"/>
        <w:ind w:left="0"/>
        <w:textAlignment w:val="center"/>
      </w:pPr>
      <w:r>
        <w:rPr>
          <w:rFonts w:ascii="微软雅黑" w:hAnsi="微软雅黑" w:eastAsia="微软雅黑" w:cs="微软雅黑"/>
          <w:color w:val="666666"/>
          <w:sz w:val="20"/>
        </w:rPr>
        <w:t>作为CRM业务流程专家，参与联想海外ERP系统迁移项目(Victory)，负责将联想西欧国家所在地的功能从IBM legacy平台迁移到联想战略平台，专注于西欧市场的功能整合与系统上线。</w:t>
      </w:r>
    </w:p>
    <w:p w14:paraId="28791BE9">
      <w:pPr>
        <w:spacing w:before="0" w:after="0" w:line="377" w:lineRule="exact"/>
        <w:ind w:left="0"/>
        <w:textAlignment w:val="center"/>
      </w:pPr>
      <w:r>
        <w:rPr>
          <w:rFonts w:ascii="微软雅黑" w:hAnsi="微软雅黑" w:eastAsia="微软雅黑" w:cs="微软雅黑"/>
          <w:b/>
          <w:color w:val="666666"/>
          <w:sz w:val="20"/>
        </w:rPr>
        <w:t>项目职责</w:t>
      </w:r>
    </w:p>
    <w:p w14:paraId="4D6AD737">
      <w:pPr>
        <w:numPr>
          <w:ilvl w:val="0"/>
          <w:numId w:val="15"/>
        </w:numPr>
        <w:spacing w:before="0" w:after="0" w:line="377" w:lineRule="exact"/>
        <w:textAlignment w:val="center"/>
      </w:pPr>
      <w:r>
        <w:rPr>
          <w:rFonts w:ascii="微软雅黑" w:hAnsi="微软雅黑" w:eastAsia="微软雅黑" w:cs="微软雅黑"/>
          <w:color w:val="666666"/>
          <w:sz w:val="20"/>
        </w:rPr>
        <w:t>主导法律法规协调：对涉及到的各国法律法规进行深入分析，确保迁移过程符合当地法规要求，处理跨国交易：熟练计算跨国交易的税收及汇率，确保财务合规</w:t>
      </w:r>
    </w:p>
    <w:p w14:paraId="1F28F893">
      <w:pPr>
        <w:numPr>
          <w:ilvl w:val="0"/>
          <w:numId w:val="15"/>
        </w:numPr>
        <w:spacing w:before="0" w:after="0" w:line="377" w:lineRule="exact"/>
        <w:textAlignment w:val="center"/>
      </w:pPr>
      <w:r>
        <w:rPr>
          <w:rFonts w:ascii="微软雅黑" w:hAnsi="微软雅黑" w:eastAsia="微软雅黑" w:cs="微软雅黑"/>
          <w:color w:val="666666"/>
          <w:sz w:val="20"/>
        </w:rPr>
        <w:t>管理销售收入确认：负责销售收入的确认流程，确保数据的准确性和合规性</w:t>
      </w:r>
    </w:p>
    <w:p w14:paraId="38F2E423">
      <w:pPr>
        <w:spacing w:before="0" w:after="0" w:line="377" w:lineRule="exact"/>
        <w:ind w:left="0"/>
        <w:textAlignment w:val="center"/>
      </w:pPr>
      <w:r>
        <w:rPr>
          <w:rFonts w:ascii="微软雅黑" w:hAnsi="微软雅黑" w:eastAsia="微软雅黑" w:cs="微软雅黑"/>
          <w:b/>
          <w:color w:val="666666"/>
          <w:sz w:val="20"/>
        </w:rPr>
        <w:t>解决方案</w:t>
      </w:r>
    </w:p>
    <w:p w14:paraId="06ED63DC">
      <w:pPr>
        <w:numPr>
          <w:ilvl w:val="0"/>
          <w:numId w:val="16"/>
        </w:numPr>
        <w:spacing w:before="0" w:after="0" w:line="377" w:lineRule="exact"/>
        <w:textAlignment w:val="center"/>
      </w:pPr>
      <w:r>
        <w:rPr>
          <w:rFonts w:ascii="微软雅黑" w:hAnsi="微软雅黑" w:eastAsia="微软雅黑" w:cs="微软雅黑"/>
          <w:color w:val="666666"/>
          <w:sz w:val="20"/>
        </w:rPr>
        <w:t>优化渠道签约与管理流程，维护良好的合作关系，制定并执行渠道激励政策，提升渠道积极性</w:t>
      </w:r>
    </w:p>
    <w:p w14:paraId="50D2B94E">
      <w:pPr>
        <w:numPr>
          <w:ilvl w:val="0"/>
          <w:numId w:val="16"/>
        </w:numPr>
        <w:spacing w:before="0" w:after="0" w:line="377" w:lineRule="exact"/>
        <w:textAlignment w:val="center"/>
      </w:pPr>
      <w:r>
        <w:rPr>
          <w:rFonts w:ascii="微软雅黑" w:hAnsi="微软雅黑" w:eastAsia="微软雅黑" w:cs="微软雅黑"/>
          <w:color w:val="666666"/>
          <w:sz w:val="20"/>
        </w:rPr>
        <w:t>实施渠道价保策略，有效保护公司利益，优化渠道费用结构，提升program管理效率</w:t>
      </w:r>
    </w:p>
    <w:p w14:paraId="60F055E5">
      <w:pPr>
        <w:spacing w:before="0" w:after="0" w:line="377" w:lineRule="exact"/>
        <w:ind w:left="0"/>
        <w:textAlignment w:val="center"/>
      </w:pPr>
      <w:r>
        <w:rPr>
          <w:rFonts w:ascii="微软雅黑" w:hAnsi="微软雅黑" w:eastAsia="微软雅黑" w:cs="微软雅黑"/>
          <w:b/>
          <w:color w:val="666666"/>
          <w:sz w:val="20"/>
        </w:rPr>
        <w:t>项目成果</w:t>
      </w:r>
    </w:p>
    <w:p w14:paraId="4368F667">
      <w:pPr>
        <w:numPr>
          <w:ilvl w:val="0"/>
          <w:numId w:val="17"/>
        </w:numPr>
        <w:spacing w:before="0" w:after="0" w:line="377" w:lineRule="exact"/>
        <w:textAlignment w:val="center"/>
      </w:pPr>
      <w:r>
        <w:rPr>
          <w:rFonts w:ascii="微软雅黑" w:hAnsi="微软雅黑" w:eastAsia="微软雅黑" w:cs="微软雅黑"/>
          <w:color w:val="666666"/>
          <w:sz w:val="20"/>
        </w:rPr>
        <w:t>成功帮助联想西欧市场实现系统整合与业务优化，提升运营效率， 通过流程优化，减少合规风险</w:t>
      </w:r>
    </w:p>
    <w:p w14:paraId="400C2D83">
      <w:pPr>
        <w:spacing w:before="0" w:after="0" w:line="290" w:lineRule="exact"/>
        <w:jc w:val="left"/>
      </w:pPr>
    </w:p>
    <w:p w14:paraId="7110AF3D">
      <w:pPr>
        <w:spacing w:before="0" w:after="0" w:line="275" w:lineRule="exact"/>
        <w:ind w:left="0"/>
        <w:textAlignment w:val="center"/>
        <w:rPr>
          <w:sz w:val="21"/>
        </w:rPr>
      </w:pPr>
      <w:r>
        <w:rPr>
          <w:rFonts w:ascii="微软雅黑" w:hAnsi="微软雅黑" w:eastAsia="微软雅黑" w:cs="微软雅黑"/>
          <w:b/>
          <w:color w:val="555555"/>
          <w:sz w:val="26"/>
        </w:rPr>
        <w:t>自我评价</w:t>
      </w:r>
    </w:p>
    <w:p w14:paraId="5EA14726">
      <w:pPr>
        <w:spacing w:before="0" w:after="0" w:line="14" w:lineRule="exact"/>
        <w:rPr>
          <w:sz w:val="21"/>
        </w:rPr>
      </w:pPr>
    </w:p>
    <w:p w14:paraId="5809C937">
      <w:pPr>
        <w:spacing w:before="0" w:after="0" w:line="152" w:lineRule="exact"/>
        <w:rPr>
          <w:rFonts w:hint="eastAsia" w:eastAsiaTheme="minorEastAsia"/>
          <w:sz w:val="21"/>
          <w:lang w:val="en-US" w:eastAsia="zh-CN"/>
        </w:rPr>
      </w:pPr>
    </w:p>
    <w:p w14:paraId="62B55372">
      <w:pPr>
        <w:numPr>
          <w:ilvl w:val="0"/>
          <w:numId w:val="18"/>
        </w:numPr>
        <w:spacing w:before="0" w:after="0" w:line="377" w:lineRule="exact"/>
        <w:textAlignment w:val="center"/>
      </w:pPr>
      <w:r>
        <w:rPr>
          <w:rFonts w:ascii="微软雅黑" w:hAnsi="微软雅黑" w:eastAsia="微软雅黑" w:cs="微软雅黑"/>
          <w:color w:val="666666"/>
          <w:sz w:val="20"/>
        </w:rPr>
        <w:t>工作经验：拥有20年+业务变革与信息化经验，擅长企业架构设计、业务流程优化及数字化系统建设，成功推动多个战略级项目落地。</w:t>
      </w:r>
    </w:p>
    <w:p w14:paraId="0413F574">
      <w:pPr>
        <w:numPr>
          <w:ilvl w:val="0"/>
          <w:numId w:val="18"/>
        </w:numPr>
        <w:spacing w:before="0" w:after="0" w:line="377" w:lineRule="exact"/>
        <w:textAlignment w:val="center"/>
      </w:pPr>
      <w:r>
        <w:rPr>
          <w:rFonts w:ascii="微软雅黑" w:hAnsi="微软雅黑" w:eastAsia="微软雅黑" w:cs="微软雅黑"/>
          <w:color w:val="666666"/>
          <w:sz w:val="20"/>
        </w:rPr>
        <w:t>专业能力：精通IT系统分析与设计，具备人工智能应用能力，擅长战略规划、流程管理、资源整合及复杂问题解决，持续为企业创造商业价值。</w:t>
      </w:r>
    </w:p>
    <w:p w14:paraId="0EB90A1B">
      <w:pPr>
        <w:numPr>
          <w:ilvl w:val="0"/>
          <w:numId w:val="18"/>
        </w:numPr>
        <w:spacing w:before="0" w:after="0" w:line="377" w:lineRule="exact"/>
        <w:textAlignment w:val="center"/>
      </w:pPr>
      <w:r>
        <w:rPr>
          <w:rFonts w:ascii="微软雅黑" w:hAnsi="微软雅黑" w:eastAsia="微软雅黑" w:cs="微软雅黑"/>
          <w:color w:val="666666"/>
          <w:sz w:val="20"/>
        </w:rPr>
        <w:t>职业态度：以结果为导向，注重团队协作与创新，善于把握技术趋势并将其转化为企业竞争优势。</w:t>
      </w:r>
    </w:p>
    <w:p w14:paraId="3926C762">
      <w:pPr>
        <w:spacing w:before="0" w:after="0" w:line="290" w:lineRule="exact"/>
        <w:jc w:val="left"/>
      </w:pPr>
    </w:p>
    <w:p w14:paraId="06264C82">
      <w:pPr>
        <w:spacing w:before="0" w:after="0" w:line="275" w:lineRule="exact"/>
        <w:ind w:left="0"/>
        <w:textAlignment w:val="center"/>
        <w:rPr>
          <w:sz w:val="21"/>
        </w:rPr>
      </w:pPr>
      <w:r>
        <w:rPr>
          <w:rFonts w:ascii="微软雅黑" w:hAnsi="微软雅黑" w:eastAsia="微软雅黑" w:cs="微软雅黑"/>
          <w:b/>
          <w:color w:val="555555"/>
          <w:sz w:val="26"/>
        </w:rPr>
        <w:t>相关技能</w:t>
      </w:r>
    </w:p>
    <w:p w14:paraId="202318A5">
      <w:pPr>
        <w:spacing w:before="0" w:after="0" w:line="14" w:lineRule="exact"/>
        <w:rPr>
          <w:sz w:val="21"/>
        </w:rPr>
      </w:pPr>
    </w:p>
    <w:p w14:paraId="55F49B01">
      <w:pPr>
        <w:spacing w:before="0" w:after="0" w:line="152" w:lineRule="exact"/>
        <w:rPr>
          <w:rFonts w:hint="eastAsia" w:eastAsiaTheme="minorEastAsia"/>
          <w:sz w:val="21"/>
          <w:lang w:val="en-US" w:eastAsia="zh-CN"/>
        </w:rPr>
      </w:pPr>
    </w:p>
    <w:p w14:paraId="5D9DF367">
      <w:pPr>
        <w:spacing w:before="0" w:after="0" w:line="377" w:lineRule="exact"/>
        <w:textAlignment w:val="center"/>
      </w:pPr>
      <w:r>
        <w:rPr>
          <w:rFonts w:ascii="微软雅黑" w:hAnsi="微软雅黑" w:eastAsia="微软雅黑" w:cs="微软雅黑"/>
          <w:color w:val="666666"/>
          <w:sz w:val="20"/>
        </w:rPr>
        <w:t>核心技能</w:t>
      </w:r>
    </w:p>
    <w:p w14:paraId="380064E2">
      <w:pPr>
        <w:numPr>
          <w:ilvl w:val="0"/>
          <w:numId w:val="19"/>
        </w:numPr>
        <w:spacing w:before="0" w:after="0" w:line="377" w:lineRule="exact"/>
        <w:textAlignment w:val="center"/>
      </w:pPr>
      <w:r>
        <w:rPr>
          <w:rFonts w:ascii="微软雅黑" w:hAnsi="微软雅黑" w:eastAsia="微软雅黑" w:cs="微软雅黑"/>
          <w:color w:val="666666"/>
          <w:sz w:val="20"/>
        </w:rPr>
        <w:t>ERP系统: 精通企业资源计划系统的实施与优化，具备X个大型项目落地经验</w:t>
      </w:r>
    </w:p>
    <w:p w14:paraId="6969A488">
      <w:pPr>
        <w:numPr>
          <w:ilvl w:val="0"/>
          <w:numId w:val="19"/>
        </w:numPr>
        <w:spacing w:before="0" w:after="0" w:line="377" w:lineRule="exact"/>
        <w:textAlignment w:val="center"/>
      </w:pPr>
      <w:r>
        <w:rPr>
          <w:rFonts w:ascii="微软雅黑" w:hAnsi="微软雅黑" w:eastAsia="微软雅黑" w:cs="微软雅黑"/>
          <w:color w:val="666666"/>
          <w:sz w:val="20"/>
        </w:rPr>
        <w:t>项目管理: 熟练掌握敏捷开发流程，主导过X个跨部门项目，平均交付周期缩短30%</w:t>
      </w:r>
    </w:p>
    <w:p w14:paraId="01958FAE">
      <w:pPr>
        <w:numPr>
          <w:ilvl w:val="0"/>
          <w:numId w:val="19"/>
        </w:numPr>
        <w:spacing w:before="0" w:after="0" w:line="377" w:lineRule="exact"/>
        <w:textAlignment w:val="center"/>
      </w:pPr>
      <w:r>
        <w:rPr>
          <w:rFonts w:ascii="微软雅黑" w:hAnsi="微软雅黑" w:eastAsia="微软雅黑" w:cs="微软雅黑"/>
          <w:color w:val="666666"/>
          <w:sz w:val="20"/>
        </w:rPr>
        <w:t>产品管理: 全生命周期管理能力，成功推动3款产品从0到1上市</w:t>
      </w:r>
    </w:p>
    <w:p w14:paraId="2253C115">
      <w:pPr>
        <w:numPr>
          <w:ilvl w:val="0"/>
          <w:numId w:val="19"/>
        </w:numPr>
        <w:spacing w:before="0" w:after="0" w:line="377" w:lineRule="exact"/>
        <w:textAlignment w:val="center"/>
      </w:pPr>
      <w:r>
        <w:rPr>
          <w:rFonts w:ascii="微软雅黑" w:hAnsi="微软雅黑" w:eastAsia="微软雅黑" w:cs="微软雅黑"/>
          <w:color w:val="666666"/>
          <w:sz w:val="20"/>
        </w:rPr>
        <w:t>数据分析: 熟练使用SQL/Python进行数据挖掘，产出商业洞察报告20+</w:t>
      </w:r>
    </w:p>
    <w:p w14:paraId="6960DEEB">
      <w:pPr>
        <w:spacing w:before="0" w:after="0" w:line="377" w:lineRule="exact"/>
        <w:textAlignment w:val="center"/>
      </w:pPr>
      <w:r>
        <w:rPr>
          <w:rFonts w:ascii="微软雅黑" w:hAnsi="微软雅黑" w:eastAsia="微软雅黑" w:cs="微软雅黑"/>
          <w:color w:val="666666"/>
          <w:sz w:val="20"/>
        </w:rPr>
        <w:t>专业认证</w:t>
      </w:r>
    </w:p>
    <w:p w14:paraId="455CDCDE">
      <w:pPr>
        <w:numPr>
          <w:ilvl w:val="0"/>
          <w:numId w:val="20"/>
        </w:numPr>
        <w:spacing w:before="0" w:after="0" w:line="377" w:lineRule="exact"/>
        <w:textAlignment w:val="center"/>
      </w:pPr>
      <w:r>
        <w:rPr>
          <w:rFonts w:ascii="微软雅黑" w:hAnsi="微软雅黑" w:eastAsia="微软雅黑" w:cs="微软雅黑"/>
          <w:color w:val="666666"/>
          <w:sz w:val="20"/>
        </w:rPr>
        <w:t>ITIL V4认证</w:t>
      </w:r>
    </w:p>
    <w:p w14:paraId="38843A3B">
      <w:pPr>
        <w:numPr>
          <w:ilvl w:val="0"/>
          <w:numId w:val="20"/>
        </w:numPr>
        <w:spacing w:before="0" w:after="0" w:line="377" w:lineRule="exact"/>
        <w:textAlignment w:val="center"/>
      </w:pPr>
      <w:r>
        <w:rPr>
          <w:rFonts w:ascii="微软雅黑" w:hAnsi="微软雅黑" w:eastAsia="微软雅黑" w:cs="微软雅黑"/>
          <w:color w:val="666666"/>
          <w:sz w:val="20"/>
        </w:rPr>
        <w:t>PMP项目管理专业人士资格</w:t>
      </w:r>
    </w:p>
    <w:p w14:paraId="0AC82979">
      <w:pPr>
        <w:spacing w:before="0" w:after="0" w:line="377" w:lineRule="exact"/>
        <w:textAlignment w:val="center"/>
      </w:pPr>
      <w:r>
        <w:rPr>
          <w:rFonts w:ascii="微软雅黑" w:hAnsi="微软雅黑" w:eastAsia="微软雅黑" w:cs="微软雅黑"/>
          <w:color w:val="666666"/>
          <w:sz w:val="20"/>
        </w:rPr>
        <w:t>辅助技能</w:t>
      </w:r>
    </w:p>
    <w:p w14:paraId="7CB3B9A4">
      <w:pPr>
        <w:numPr>
          <w:ilvl w:val="0"/>
          <w:numId w:val="21"/>
        </w:numPr>
        <w:spacing w:before="0" w:after="0" w:line="377" w:lineRule="exact"/>
        <w:textAlignment w:val="center"/>
      </w:pPr>
      <w:r>
        <w:rPr>
          <w:rFonts w:ascii="微软雅黑" w:hAnsi="微软雅黑" w:eastAsia="微软雅黑" w:cs="微软雅黑"/>
          <w:color w:val="666666"/>
          <w:sz w:val="20"/>
        </w:rPr>
        <w:t>熟悉CRM系统运维与架构设计</w:t>
      </w:r>
    </w:p>
    <w:p w14:paraId="3FB4FB06">
      <w:pPr>
        <w:numPr>
          <w:ilvl w:val="0"/>
          <w:numId w:val="21"/>
        </w:numPr>
        <w:spacing w:before="0" w:after="0" w:line="377" w:lineRule="exact"/>
        <w:textAlignment w:val="center"/>
      </w:pPr>
      <w:r>
        <w:rPr>
          <w:rFonts w:ascii="微软雅黑" w:hAnsi="微软雅黑" w:eastAsia="微软雅黑" w:cs="微软雅黑"/>
          <w:color w:val="666666"/>
          <w:sz w:val="20"/>
        </w:rPr>
        <w:t>具备市场分析与战略规划能力</w:t>
      </w:r>
    </w:p>
    <w:p w14:paraId="3450112C">
      <w:pPr>
        <w:numPr>
          <w:ilvl w:val="0"/>
          <w:numId w:val="21"/>
        </w:numPr>
        <w:spacing w:before="0" w:after="0" w:line="377" w:lineRule="exact"/>
        <w:textAlignment w:val="center"/>
      </w:pPr>
      <w:r>
        <w:rPr>
          <w:rFonts w:ascii="微软雅黑" w:hAnsi="微软雅黑" w:eastAsia="微软雅黑" w:cs="微软雅黑"/>
          <w:color w:val="666666"/>
          <w:sz w:val="20"/>
        </w:rPr>
        <w:t>掌握财务与法律基础知识</w:t>
      </w:r>
      <w:r>
        <w:drawing>
          <wp:anchor distT="0" distB="0" distL="114300" distR="114300" simplePos="0" relativeHeight="251659264" behindDoc="1" locked="0" layoutInCell="1" allowOverlap="1">
            <wp:simplePos x="0" y="0"/>
            <wp:positionH relativeFrom="page">
              <wp:posOffset>0</wp:posOffset>
            </wp:positionH>
            <wp:positionV relativeFrom="page">
              <wp:posOffset>10250805</wp:posOffset>
            </wp:positionV>
            <wp:extent cx="7559040" cy="442595"/>
            <wp:effectExtent l="0" t="0" r="0" b="0"/>
            <wp:wrapNone/>
            <wp:docPr id="5" name="Drawing 0" descr="footer_bg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footer_bg_icon.png"/>
                    <pic:cNvPicPr>
                      <a:picLocks noChangeAspect="1"/>
                    </pic:cNvPicPr>
                  </pic:nvPicPr>
                  <pic:blipFill>
                    <a:blip r:embed="rId6"/>
                    <a:stretch>
                      <a:fillRect/>
                    </a:stretch>
                  </pic:blipFill>
                  <pic:spPr>
                    <a:xfrm>
                      <a:off x="0" y="0"/>
                      <a:ext cx="7559055" cy="442481"/>
                    </a:xfrm>
                    <a:prstGeom prst="rect">
                      <a:avLst/>
                    </a:prstGeom>
                  </pic:spPr>
                </pic:pic>
              </a:graphicData>
            </a:graphic>
          </wp:anchor>
        </w:drawing>
      </w:r>
    </w:p>
    <w:sectPr>
      <w:headerReference r:id="rId3" w:type="first"/>
      <w:footerReference r:id="rId4" w:type="first"/>
      <w:pgSz w:w="11906" w:h="16838"/>
      <w:pgMar w:top="1306" w:right="1001" w:bottom="1306" w:left="1030" w:header="851" w:footer="992" w:gutter="0"/>
      <w:pgBorders w:offsetFrom="page">
        <w:left w:val="single" w:color="B0D4E4" w:sz="280" w:space="0"/>
        <w:right w:val="single" w:color="B0D4E4" w:sz="28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60232">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BBEF7">
    <w:pPr>
      <w:pStyle w:val="3"/>
      <w:pBdr>
        <w:bottom w:val="none" w:color="auto" w:sz="0" w:space="1"/>
      </w:pBdr>
      <w:rPr>
        <w:rFonts w:hint="eastAsia" w:eastAsiaTheme="minorEastAsia"/>
        <w:lang w:eastAsia="zh-CN"/>
      </w:rPr>
    </w:pPr>
    <w:r>
      <w:rPr>
        <w:rFonts w:hint="eastAsia" w:eastAsiaTheme="minorEastAsia"/>
        <w:lang w:eastAsia="zh-CN"/>
      </w:rPr>
      <w:drawing>
        <wp:anchor distT="0" distB="0" distL="114935" distR="114935" simplePos="0" relativeHeight="251660288" behindDoc="1" locked="0" layoutInCell="1" allowOverlap="1">
          <wp:simplePos x="0" y="0"/>
          <wp:positionH relativeFrom="page">
            <wp:posOffset>0</wp:posOffset>
          </wp:positionH>
          <wp:positionV relativeFrom="page">
            <wp:posOffset>0</wp:posOffset>
          </wp:positionV>
          <wp:extent cx="7559675" cy="10692130"/>
          <wp:effectExtent l="0" t="0" r="3175" b="13970"/>
          <wp:wrapNone/>
          <wp:docPr id="6" name="图片 6" descr="page_auto_background"/>
          <wp:cNvGraphicFramePr/>
          <a:graphic xmlns:a="http://schemas.openxmlformats.org/drawingml/2006/main">
            <a:graphicData uri="http://schemas.openxmlformats.org/drawingml/2006/picture">
              <pic:pic xmlns:pic="http://schemas.openxmlformats.org/drawingml/2006/picture">
                <pic:nvPicPr>
                  <pic:cNvPr id="6" name="图片 6"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200" w:hanging="200"/>
      </w:pPr>
    </w:lvl>
    <w:lvl w:ilvl="1" w:tentative="0">
      <w:start w:val="1"/>
      <w:numFmt w:val="bullet"/>
      <w:lvlText w:val="•"/>
      <w:lvlJc w:val="left"/>
      <w:pPr>
        <w:ind w:left="620" w:hanging="200"/>
      </w:pPr>
    </w:lvl>
    <w:lvl w:ilvl="2" w:tentative="0">
      <w:start w:val="1"/>
      <w:numFmt w:val="bullet"/>
      <w:lvlText w:val="•"/>
      <w:lvlJc w:val="left"/>
      <w:pPr>
        <w:ind w:left="1040" w:hanging="200"/>
      </w:pPr>
    </w:lvl>
    <w:lvl w:ilvl="3" w:tentative="0">
      <w:start w:val="1"/>
      <w:numFmt w:val="bullet"/>
      <w:lvlText w:val="•"/>
      <w:lvlJc w:val="left"/>
      <w:pPr>
        <w:ind w:left="1460" w:hanging="200"/>
      </w:pPr>
    </w:lvl>
    <w:lvl w:ilvl="4" w:tentative="0">
      <w:start w:val="1"/>
      <w:numFmt w:val="bullet"/>
      <w:lvlText w:val="•"/>
      <w:lvlJc w:val="left"/>
      <w:pPr>
        <w:ind w:left="1880" w:hanging="200"/>
      </w:pPr>
    </w:lvl>
    <w:lvl w:ilvl="5" w:tentative="0">
      <w:start w:val="1"/>
      <w:numFmt w:val="bullet"/>
      <w:lvlText w:val="•"/>
      <w:lvlJc w:val="left"/>
      <w:pPr>
        <w:ind w:left="2300" w:hanging="200"/>
      </w:pPr>
    </w:lvl>
    <w:lvl w:ilvl="6" w:tentative="0">
      <w:start w:val="1"/>
      <w:numFmt w:val="bullet"/>
      <w:lvlText w:val="•"/>
      <w:lvlJc w:val="left"/>
      <w:pPr>
        <w:ind w:left="2720" w:hanging="200"/>
      </w:pPr>
    </w:lvl>
    <w:lvl w:ilvl="7" w:tentative="0">
      <w:start w:val="1"/>
      <w:numFmt w:val="bullet"/>
      <w:lvlText w:val="•"/>
      <w:lvlJc w:val="left"/>
      <w:pPr>
        <w:ind w:left="3140" w:hanging="200"/>
      </w:pPr>
    </w:lvl>
    <w:lvl w:ilvl="8" w:tentative="0">
      <w:start w:val="1"/>
      <w:numFmt w:val="bullet"/>
      <w:lvlText w:val="•"/>
      <w:lvlJc w:val="left"/>
      <w:pPr>
        <w:ind w:left="3560" w:hanging="20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3YWJhNTk2YmViMDJjYTgzY2MwNmE4ZmMwNTRjZmUifQ=="/>
  </w:docVars>
  <w:rsids>
    <w:rsidRoot w:val="6502090C"/>
    <w:rsid w:val="09E759A5"/>
    <w:rsid w:val="0B3F4A27"/>
    <w:rsid w:val="14B93137"/>
    <w:rsid w:val="192A24F5"/>
    <w:rsid w:val="1C3F1959"/>
    <w:rsid w:val="1E1E31CB"/>
    <w:rsid w:val="1E4414E7"/>
    <w:rsid w:val="23DA301F"/>
    <w:rsid w:val="2F2B5F68"/>
    <w:rsid w:val="31E70D56"/>
    <w:rsid w:val="38B05511"/>
    <w:rsid w:val="436405CD"/>
    <w:rsid w:val="459E1D8A"/>
    <w:rsid w:val="49F16BD5"/>
    <w:rsid w:val="4ED846C4"/>
    <w:rsid w:val="50FE5570"/>
    <w:rsid w:val="5153670D"/>
    <w:rsid w:val="53E178E8"/>
    <w:rsid w:val="568972FD"/>
    <w:rsid w:val="6502090C"/>
    <w:rsid w:val="68F33F75"/>
    <w:rsid w:val="7D794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sv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3199</Words>
  <Characters>3594</Characters>
  <Lines>0</Lines>
  <Paragraphs>0</Paragraphs>
  <TotalTime>5</TotalTime>
  <ScaleCrop>false</ScaleCrop>
  <LinksUpToDate>false</LinksUpToDate>
  <CharactersWithSpaces>3642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2022-03-07T08:59:00Z</dcterms:created>
  <dc:creator>WPS_1603439798</dc:creator>
  <cp:lastModifiedBy>bob</cp:lastModifiedBy>
  <dcterms:modified xsi:type="dcterms:W3CDTF">2025-09-28T01:19:17Z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8E2927BB0B954E5FA8A04A0CD3C35291_13</vt:lpwstr>
  </property>
  <property fmtid="{D5CDD505-2E9C-101B-9397-08002B2CF9AE}" pid="4" name="woTypoMode">
    <vt:lpwstr>pages</vt:lpwstr>
  </property>
  <property fmtid="{D5CDD505-2E9C-101B-9397-08002B2CF9AE}" pid="5" name="woSyncTypoMode">
    <vt:lpwstr>是</vt:lpwstr>
  </property>
  <property fmtid="{D5CDD505-2E9C-101B-9397-08002B2CF9AE}" pid="6" name="KSOTemplateDocerSaveRecord">
    <vt:lpwstr>eyJoZGlkIjoiZTczMjE3YTg3NzI1YzU0MmQ3NWJiYTI5MTUyMzI3NjAiLCJ1c2VySWQiOiIzMDQxNTQ5MjYifQ==</vt:lpwstr>
  </property>
</Properties>
</file>