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提升漏斗质量自工序项目答辩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答辩前：门槛符合性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岗位需求相关性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本人属于EBG战略与流程管理部，岗位为流程PC，当前的岗位需求为EBG MTCV MO&amp;DG两个流程的管理，包括流程梳理，流程发布，流程落地与执行等相关工作。基于MO管理商机业务流程，希望应用自工序解决漏斗质量的问题。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知识掌握程度：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</w:t>
      </w:r>
      <w:r>
        <w:rPr>
          <w:rFonts w:eastAsia="等线" w:ascii="Arial" w:cs="Arial" w:hAnsi="Arial"/>
          <w:b w:val="true"/>
          <w:sz w:val="22"/>
        </w:rPr>
        <w:t>《自工序完结》培训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已通过了</w:t>
      </w:r>
      <w:r>
        <w:rPr>
          <w:rFonts w:eastAsia="等线" w:ascii="Arial" w:cs="Arial" w:hAnsi="Arial"/>
          <w:b w:val="true"/>
          <w:sz w:val="22"/>
        </w:rPr>
        <w:t>iLearning上《自工序完结》考试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次参加公司线上线下的培训，并接受外部辅导老师的指导，老师对两表一图应用提出了很多中肯的意见（比如:细化业务要素整理表，把活动分解，明确输入/输出及质量标准，利于进一步分析。），已经按照要求对相关图表进行了完善和更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行为践行：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一、沟通合作：从 “事后衔接” 到 “事前协同”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沟通目标转变：从 “仅传递任务结果” 变为 “同步质量标准 + 前置风险预警”，例如工序开始前主动确认上游输入标准，而非接收后发现问题再返工。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协作角色转变：从 “依赖下游检查” 变为 “主动对接上下游”，例如主动向后续工序说明本环节关键控制点，减少下游因信息差导致的失误。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问题处理转变：从 “上报等待指令” 变为 “自主牵头协调”，例如发现本工序潜在问题时，直接联动技术、上游岗位快速定位原因，而非仅记录问题等待处理。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二、工具方法：从 “经验判断” 到 “标准化管控”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质量检查工具：从 “人工随机抽检” 变为 “工序内标准化自检清单”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问题追溯工具：从 “口头反馈” 变为 “自工序问题记录台账”，记录问题发生节点、原因及改进措施，形成 “发现 - 解决 - 复盘” 闭环，避免同类问题重复出现。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三表一图工具深度应用</w:t>
      </w:r>
      <w:r>
        <w:rPr>
          <w:rFonts w:eastAsia="等线" w:ascii="Arial" w:cs="Arial" w:hAnsi="Arial"/>
          <w:sz w:val="22"/>
          <w:shd w:fill="f2f3f5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开题报告：明确项目背景，业务问题，业务价值及计划。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业务整理表</w:t>
      </w:r>
      <w:r>
        <w:rPr>
          <w:rFonts w:eastAsia="等线" w:ascii="Arial" w:cs="Arial" w:hAnsi="Arial"/>
          <w:sz w:val="22"/>
          <w:shd w:fill="f2f3f5"/>
        </w:rPr>
        <w:t>：拆解全工序步骤，标注各步骤输入输出、责任人及时间节点，清晰呈现工序流转逻辑；梳理各工序的良品条件，作为自检与互检的核心依据；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业务要素表</w:t>
      </w:r>
      <w:r>
        <w:rPr>
          <w:rFonts w:eastAsia="等线" w:ascii="Arial" w:cs="Arial" w:hAnsi="Arial"/>
          <w:sz w:val="22"/>
          <w:shd w:fill="f2f3f5"/>
        </w:rPr>
        <w:t>：对关键工序进一步细化操作动作，明确每个动作的执行标准；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流程图</w:t>
      </w:r>
      <w:r>
        <w:rPr>
          <w:rFonts w:eastAsia="等线" w:ascii="Arial" w:cs="Arial" w:hAnsi="Arial"/>
          <w:sz w:val="22"/>
          <w:shd w:fill="f2f3f5"/>
        </w:rPr>
        <w:t>：可视化展示本工序与上、下工序的衔接关系，标注信息传递路径与异常反馈节点，提升工序协同效率。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840"/>
        <w:gridCol w:w="2880"/>
        <w:gridCol w:w="1065"/>
        <w:gridCol w:w="163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角色姓名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意见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意见来源时间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是否推荐答辩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45bdb"/>
                <w:sz w:val="22"/>
              </w:rPr>
              <w:t>上级：流程管理经理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沙书立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本课题在EBG执委的指导和监督下，经过4个月的实践，取得一定成效，对业务改善有较大帮助，推荐答辩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2025年9月5日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课题下工序代表：销售管理经理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李冰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我从一个销售支持部门的角度来看，这个课题挺好的，好在【</w:t>
            </w:r>
            <w:r>
              <w:rPr>
                <w:rFonts w:eastAsia="等线" w:ascii="Arial" w:cs="Arial" w:hAnsi="Arial"/>
                <w:b w:val="true"/>
                <w:sz w:val="22"/>
                <w:u w:val="single"/>
              </w:rPr>
              <w:t>有机会通过明确下工序的质量要求，本工序的业务要素，各个角色的分工，解决EBG漏斗质量多年未解决的难题，为订单预测，要货预测提供重要依据】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2025年9月8日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课题核心成员代表：大区节点经理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韩进庆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T是CRM中商机的四大要素，其中N的部分对于漏斗预测影响较大，本课题聚焦解决把N做准提供较大帮助。一是通过课题提升售前在配置产品清单阶段的质量，创新性提出可信度概念，让售前在自工序保证产品清单的质量，同时通过多工序的关联，帮助销售同事在CRM中的产品清单更新，给出了详细的操作流程及质量标准，并基于新的流程和质量标准对现有IT系统做升级。整体为要货预测、市场需求提供准确依据。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2025年9月8日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答辩环节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环节1：业务结果&amp;认知体会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8f959e"/>
          <w:sz w:val="30"/>
        </w:rPr>
        <w:t>I：背景回顾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概括项目相关的背景信息，信息的详尽程度取决于汇报对象对项目的了解程度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内容包括但不限于：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业务问题和诉求是什么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漏斗的准确性，对销售预测管理、供应链备货及下单管理有着重要的影响作用，由于销售漏斗的“N”不准确导致销售预测不准确，进而导致供应链的要货预测、备货管理不准，造成呆滞料和库存，对EBG经营利润造成巨大影响，而销售漏斗的“3T”不准确，影响客户订单交付，时间的偏差导致客户满意度降低，投诉增多，直接影响客户对锐捷品牌的信任和复购！同时销售漏斗的“N”和“T”不准确，也会造成组织内部资源的消耗，影响组织运营效率，因此，提升漏斗的准确性，尤其是做准“N”和“T”，迫在眉睫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我们需要回到问题的源点，</w:t>
      </w:r>
      <w:r>
        <w:rPr>
          <w:rFonts w:eastAsia="等线" w:ascii="Arial" w:cs="Arial" w:hAnsi="Arial"/>
          <w:b w:val="true"/>
          <w:color w:val="d83931"/>
          <w:sz w:val="22"/>
        </w:rPr>
        <w:t>梳理线索到商机管理的流程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color w:val="d83931"/>
          <w:sz w:val="22"/>
        </w:rPr>
        <w:t>重新定义“N”和“T”何为准确？如何“自工序完结”的把“N”和“T”做准</w:t>
      </w:r>
      <w:r>
        <w:rPr>
          <w:rFonts w:eastAsia="等线" w:ascii="Arial" w:cs="Arial" w:hAnsi="Arial"/>
          <w:sz w:val="22"/>
        </w:rPr>
        <w:t>，全面</w:t>
      </w:r>
      <w:r>
        <w:rPr>
          <w:rFonts w:eastAsia="等线" w:ascii="Arial" w:cs="Arial" w:hAnsi="Arial"/>
          <w:b w:val="true"/>
          <w:color w:val="d83931"/>
          <w:sz w:val="22"/>
        </w:rPr>
        <w:t>提升漏斗准确性</w:t>
      </w:r>
      <w:r>
        <w:rPr>
          <w:rFonts w:eastAsia="等线" w:ascii="Arial" w:cs="Arial" w:hAnsi="Arial"/>
          <w:sz w:val="22"/>
        </w:rPr>
        <w:t>，最终</w:t>
      </w:r>
      <w:r>
        <w:rPr>
          <w:rFonts w:eastAsia="等线" w:ascii="Arial" w:cs="Arial" w:hAnsi="Arial"/>
          <w:b w:val="true"/>
          <w:color w:val="d83931"/>
          <w:sz w:val="22"/>
        </w:rPr>
        <w:t>提高EBG经营绩效</w:t>
      </w:r>
      <w:r>
        <w:rPr>
          <w:rFonts w:eastAsia="等线" w:ascii="Arial" w:cs="Arial" w:hAnsi="Arial"/>
          <w:sz w:val="22"/>
        </w:rPr>
        <w:t>！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选择优化的流程在流程架构中所处的位置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MTCV-LTC-ML 管理线索-跟踪和培训线索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MTCV-LTC-MO 管理商机-验证商机&amp;商机推进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该问题在流程图所属的位置和状态；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1）漏斗外进漏斗内。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2）进入漏斗后，商机发生变化，比如：预测类别变化，开标时间变化到开标30天内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原来流程存在的缺陷和不足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现状1：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①售前根据客户需求在配置器里配置清单，存在根据历史项目产品清单简单调整，只匹配上总金额就提交的情况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②销售既可以使用从配置器分享的配置清单，也可以自己在ECP系统里使用历史存留的产品报价清单，简单修改，只要匹配上总金额就提交的情况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③对售前销售提交的产品清单进漏斗时，没有检查校验环节，只看有无，不看质量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问题：N（产品清单）存在不质量的配置方式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现状2：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①线索从漏斗外进漏斗内时，销售只填预计开标时间、预计下单时间即可，不填写要货时间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②销售对预计开标时间、预计下单时间的填写是随意的，有的人靠经验和感觉，有的人采用简单的正推法、倒推法粗略计算就填上去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问题：T（开标时间、下单时间、要货时间）存在不质量的情况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现状3：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①销售根据漏斗外进漏斗内的要求，把M、A、N、T按照原有的《漏斗质量管理9.0》要求 填写到CRM系统，点击提交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②区域经理会审核MANT的质量，但由于没有明确的标准，所以不对N、T的准确性做检查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问题：“N”和“T”的准确性缺乏检查校验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上述问题带来的影响如下：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1）勾选备货项目转单率低；（勾选备货项目转单率低，当月目标&gt;=90%,25年前四个月实际达成：84%）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2）下单项目存在部分项目未及时勾选备货；（结合承诺预测校准备货后，下单项目勾选备货的占比有所提升；当月目标&gt;=90%; 25年前四个月实际达成：92.5%）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3）勾选备货项目，部分项目未及时调整清单；（25年清单准确率相较24年有所提升，但是依然没有达成目标；清单准确率目标&gt;=90%; 25年前四个月实际平均达成：86%，）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4）勾选备货项目要货时间准确率不高（CRM要货时间与实际订单客期偏差大，要货时间准确率，当月目标&gt;=60%;25年前四个月实际平均达成率：35%）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5）订单急单率、客期变更率高（25年1-4月有15%订单下单后调整客期，25年下单后客期变更影响的订单金额高达9126万，提前存在交付风险，延后影响库存周转）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预期目标和阶段目标是什么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想要设定明确的目标必须分析问题的根因。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问题：供应链备货不准、不及时。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Why1：为什么供应链备货不准？原因：前端输入的备货计划不准。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Why2：为什么前端输入的备货计划不准？原因：前端预测不准。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Why3：为什么前端预测不准？原因：输入的配置（N）和时间(T)的质量不高。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Why4：为什么输入的配置和时间的质量不高？原因：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1、漏斗外进漏斗内N/T信息输入缺乏方法和质量标准；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2、进漏斗后的商机发生变化后没有及时更新N和T的信息的要求和标准；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对于MANT的输入，尤其是N和T的输入缺乏方法和质量标准。同时，对于整个商机管理过程中的N和T的持续更新机制缺乏管理。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所以通过对N和T输入质量的提升提升整个漏斗的质量，在当前的漏斗准确性基础上，至少提升20%，从而改善供应链备货准确及时率。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8f959e"/>
          <w:sz w:val="30"/>
        </w:rPr>
        <w:t>II：状态变化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N：产品配置清单不准，很多销售图省事，从历史金额差不多的项目里拷贝到项目配置清单里。（还有很多销售、售前认为漏斗外到漏斗内因为随着后面商机推进，客户需求还是会变，所以就没有意识把该填准的信息填准//他们也没有意识到会对后道哪些人产生什么影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2、T：T分为开标时间、下单时间、要货时间，这个也是不准。最大的原因还是意识问题，销售不认为在这个阶段能填准。）并且对于要货时间之前也没有要求。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施后：通过自工序方法分析现有流程及关键活动，明确输入输出及良品条件，向上一道工序线索管理提要求，明确输入的标准和质量，同时了解下一道工序对于本工序输出质量的要求，通过合意共识，达成质量标准，设计方法提升质量，设计流程提升效率，提出IT解决方案，保障流程的落地与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体现：通过试点区域的结果来看，N和T的输入质量有了明显提升，山东区域，对于N的输入，8月份统计结果显示产品及金额同比提升11%和20%。上海区域的试点项目复盘中也发现很多项目的时间输入准确性提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8f959e"/>
          <w:sz w:val="30"/>
        </w:rPr>
        <w:t>III：结果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8f959e"/>
          <w:sz w:val="30"/>
        </w:rPr>
        <w:t>IV：后续的问题/行动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下一步需要通过IT功能的上线提升目前手动工作的效率，并且从试点到全面推行需要针对所有区域进行宣贯，培训，指导，同时需要设计运行机制，来全面监控稽核流程执行情况及业务目标达成情况。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8f959e"/>
          <w:sz w:val="30"/>
        </w:rPr>
        <w:t>V：认知/收获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  <w:shd w:fill="f2f3f5"/>
        </w:rPr>
        <w:t>自工序方法以 “明确工序边界、定义良品标准、联动上下游” 为核心，在本次项目中不仅解决了商机管理流程的实际问题，更推动团队完成了多维度的认知升级。以下从四大关键领域，通过 “优化前认知” 与 “优化后认知” 的直接对比，清晰呈现自工序方法带来的认知突破与实践收获：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  <w:shd w:fill="f2f3f5"/>
        </w:rPr>
        <w:t>一、流程质量管控：从 “被动补救” 到 “主动预防”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优化前</w:t>
      </w:r>
      <w:r>
        <w:rPr>
          <w:rFonts w:eastAsia="等线" w:ascii="Arial" w:cs="Arial" w:hAnsi="Arial"/>
          <w:sz w:val="22"/>
          <w:shd w:fill="f2f3f5"/>
        </w:rPr>
        <w:t>：无量化质量标准，全靠经验判断，N/T 填写规范混乱；问题处理依赖后端发现错误后返工，属于 “事后救火”；无质量标准与责任人。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优化后（自工序驱动）</w:t>
      </w:r>
      <w:r>
        <w:rPr>
          <w:rFonts w:eastAsia="等线" w:ascii="Arial" w:cs="Arial" w:hAnsi="Arial"/>
          <w:sz w:val="22"/>
          <w:shd w:fill="f2f3f5"/>
        </w:rPr>
        <w:t>：制定 N/T 量化标准和输入方法；向上游线索管理提输入要求，从源头控制质量；明确售前为 N/T 信息质量第一责任人，需自检后分享销售提交CRM，审核仅做复核。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核心收获</w:t>
      </w:r>
      <w:r>
        <w:rPr>
          <w:rFonts w:eastAsia="等线" w:ascii="Arial" w:cs="Arial" w:hAnsi="Arial"/>
          <w:sz w:val="22"/>
          <w:shd w:fill="f2f3f5"/>
        </w:rPr>
        <w:t>：首次建立可落地的质量标准，减少质量波动；N 信息返工率明显下降，减少无效成本；山东区域 N 产品信息准确率同比提升 11%，金额准确率同比提升20%，质量责任从分散转向聚焦。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  <w:shd w:fill="f2f3f5"/>
        </w:rPr>
        <w:t>二、跨工序协作：从 “壁垒割裂” 到 “双向协同”</w:t>
      </w:r>
      <w:bookmarkEnd w:id="1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优化前</w:t>
      </w:r>
      <w:r>
        <w:rPr>
          <w:rFonts w:eastAsia="等线" w:ascii="Arial" w:cs="Arial" w:hAnsi="Arial"/>
          <w:sz w:val="22"/>
          <w:shd w:fill="f2f3f5"/>
        </w:rPr>
        <w:t>：销售不清楚 N/T 信息对供应链的影响，填写随意；供应链仅抱怨销售信息不准，不理解客户需求变动的前端难点；销售追商机推进速度、供应链追备货准确性，目标对立。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优化后（自工序驱动）</w:t>
      </w:r>
      <w:r>
        <w:rPr>
          <w:rFonts w:eastAsia="等线" w:ascii="Arial" w:cs="Arial" w:hAnsi="Arial"/>
          <w:sz w:val="22"/>
          <w:shd w:fill="f2f3f5"/>
        </w:rPr>
        <w:t>：组织销售与供应链面对面沟通，通过呆滞料堆积、生产线停工等实际案例，让销售理解下游需求逻辑；供应链参与前端需求调研，共同制定 “分阶段确认机制”（客户需求初步明确填基础信息，确认后补全细节）；统一 “减少呆滞料 + 保障交付” 的共同目标，明确双向价值关联。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核心收获</w:t>
      </w:r>
      <w:r>
        <w:rPr>
          <w:rFonts w:eastAsia="等线" w:ascii="Arial" w:cs="Arial" w:hAnsi="Arial"/>
          <w:sz w:val="22"/>
          <w:shd w:fill="f2f3f5"/>
        </w:rPr>
        <w:t>：试点期间，上海区域 T 信息主动更新率提升 ，打破跨部门信息壁垒；协作矛盾减少 ，从单向指责转向互相适配；跨部门沟通效率提升，时间预测准确率均有提升。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  <w:shd w:fill="f2f3f5"/>
        </w:rPr>
        <w:t>三、流程效率提升：从 “局部提速” 到 “全链路增值”</w:t>
      </w:r>
      <w:bookmarkEnd w:id="15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优化前</w:t>
      </w:r>
      <w:r>
        <w:rPr>
          <w:rFonts w:eastAsia="等线" w:ascii="Arial" w:cs="Arial" w:hAnsi="Arial"/>
          <w:sz w:val="22"/>
          <w:shd w:fill="f2f3f5"/>
        </w:rPr>
        <w:t>：将效率等同于 “步骤少、时间短”，曾为提速删减 N 信息审核环节，导致后端备错料率上升 ；盲目优化非关键环节，未解决核心痛点；认为效率与质量不可兼得，快就需牺牲质量。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优化后（自工序驱动）</w:t>
      </w:r>
      <w:r>
        <w:rPr>
          <w:rFonts w:eastAsia="等线" w:ascii="Arial" w:cs="Arial" w:hAnsi="Arial"/>
          <w:sz w:val="22"/>
          <w:shd w:fill="f2f3f5"/>
        </w:rPr>
        <w:t>：重新定义效率为 “准确无返工 + 全链路顺畅”，保留审核环节但优化流程；锁定销售上传配置及输入预测时间无有效方法支撑，缺乏审批验证手段供区域经理进行商机审批等核心痛点，设计配置可信度自评打分表+ 3T时间估算方法；通过 IT 工具实现 “填写 - 校验 - 提交 - 交叉验证 - 主动提醒” 自动化，实时提示信息错误，敦促责任人对信息做及时校准和持续更新。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核心收获</w:t>
      </w:r>
      <w:r>
        <w:rPr>
          <w:rFonts w:eastAsia="等线" w:ascii="Arial" w:cs="Arial" w:hAnsi="Arial"/>
          <w:sz w:val="22"/>
          <w:shd w:fill="f2f3f5"/>
        </w:rPr>
        <w:t>：有了有效的方法和系统做支撑，销售填写信息效率提升；更有依据能保障信息输入的质量，打破 “效率与质量两难” 的认知。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  <w:shd w:fill="f2f3f5"/>
        </w:rPr>
        <w:t>四、方法论落地：从 “理论套用” 到 “业务适配”</w:t>
      </w:r>
      <w:bookmarkEnd w:id="16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优化前</w:t>
      </w:r>
      <w:r>
        <w:rPr>
          <w:rFonts w:eastAsia="等线" w:ascii="Arial" w:cs="Arial" w:hAnsi="Arial"/>
          <w:sz w:val="22"/>
          <w:shd w:fill="f2f3f5"/>
        </w:rPr>
        <w:t>：照搬通用方法论步骤，不顾商机管理 “客户需求动态变化” 的特性，落地困难；认为方法论是形式主义，不如直接解决具体问题；靠行政指令强制推行新流程，销售抵触情绪大，接受度低。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优化后（自工序驱动）</w:t>
      </w:r>
      <w:r>
        <w:rPr>
          <w:rFonts w:eastAsia="等线" w:ascii="Arial" w:cs="Arial" w:hAnsi="Arial"/>
          <w:sz w:val="22"/>
          <w:shd w:fill="f2f3f5"/>
        </w:rPr>
        <w:t>：结合业务实际调整方法论，如将 “工序内自检” 优化为 “售前做配置分享销售+供应链规则内置系统自动核查”，适配销售缺乏产品与供应链知识的现状；明确自工序方法是 “定标准、对齐上下游” 的框架，能为后续优化提供复用思路；邀请销售、售前、供应链共同制定标准，配合培训与 IT 工具支撑，以共识驱动落地。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2f3f5"/>
        </w:rPr>
        <w:t>核心收获</w:t>
      </w:r>
      <w:r>
        <w:rPr>
          <w:rFonts w:eastAsia="等线" w:ascii="Arial" w:cs="Arial" w:hAnsi="Arial"/>
          <w:sz w:val="22"/>
          <w:shd w:fill="f2f3f5"/>
        </w:rPr>
        <w:t>：信息准确率提升，流程效率也有提升，避免方法论 “水土不服”；结合IT系统，通过设计流程运转机制落地流程监控稽核，从短期解决单点问题，转向建立可复用的长效机制，支撑项目全面推广；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具体实际实践收获：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1）通过自工序开题报告，明确项目背景，业务价值，识别现状和存在的问题，分析原因及具体的改善举措，最后明确项目资源和计划。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2）通过业务整理表明确工序，上下游之间的输入输出的要求和良品条件，最关键的是识别出来影响漏斗质量的关键内容是N和T。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3）通过要素整理表拆解每个工序的关键活动，识别出来缺乏N和T的统一定义和支撑做好N和T的方法。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4）通过流程图，明确流程中的活动之间的逻辑关系和每个活动的时间要求等。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环节2：两表一图讲解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附上两表一图，针对两表一图关键内容进行阐述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1）业务整理表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业务整理表-模板及填写说明（商机验证）20250609</w:t>
        </w:r>
      </w:hyperlink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业务整理表-模板及填写说明_-ML-跟踪和培育线索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本工序名称：验证商机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工作目的：验证商机为满足进漏斗条件的机会，通过商机审批环节对商机质量把关，对验证通过的商机进行审批进入商机漏斗。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工作目标：对MANT准确清晰的商机进行审批，提高漏斗质量。特别对N和T的质量要严格把控。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提供的物品和服务：配置列表，可信度打分，准确的3T（要求到货时间，预计下单日期，预计开标时间）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满足客户需求做有增值的工作：商机审批，做准N和T的质量标准和操作流程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2）业务流程图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明确工作流程及关联关系：</w:t>
      </w:r>
      <w:r>
        <w:rPr>
          <w:rFonts w:eastAsia="等线" w:ascii="Arial" w:cs="Arial" w:hAnsi="Arial"/>
          <w:sz w:val="22"/>
        </w:rPr>
        <w:t>商机填报，商机验证及审批，漏斗内变化触发的配置更新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明确时间要求：</w:t>
      </w:r>
      <w:r>
        <w:rPr>
          <w:rFonts w:eastAsia="等线" w:ascii="Arial" w:cs="Arial" w:hAnsi="Arial"/>
          <w:sz w:val="22"/>
        </w:rPr>
        <w:t>标注各个关键节点的时间要求，商机审批时效48H。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明确管理边界：</w:t>
      </w:r>
      <w:r>
        <w:rPr>
          <w:rFonts w:eastAsia="等线" w:ascii="Arial" w:cs="Arial" w:hAnsi="Arial"/>
          <w:sz w:val="22"/>
        </w:rPr>
        <w:t>明确角色/岗位，</w:t>
      </w:r>
      <w:r>
        <w:rPr>
          <w:rFonts w:eastAsia="等线" w:ascii="Arial" w:cs="Arial" w:hAnsi="Arial"/>
          <w:b w:val="true"/>
          <w:sz w:val="22"/>
        </w:rPr>
        <w:t>应该做什么，</w:t>
      </w:r>
      <w:r>
        <w:rPr>
          <w:rFonts w:eastAsia="等线" w:ascii="Arial" w:cs="Arial" w:hAnsi="Arial"/>
          <w:sz w:val="22"/>
        </w:rPr>
        <w:t>下一个节点是什么；</w:t>
      </w:r>
      <w:r>
        <w:rPr>
          <w:rFonts w:eastAsia="等线" w:ascii="Arial" w:cs="Arial" w:hAnsi="Arial"/>
          <w:b w:val="true"/>
          <w:sz w:val="22"/>
        </w:rPr>
        <w:t xml:space="preserve"> 清晰责任人/责任岗位</w:t>
      </w:r>
      <w:r>
        <w:rPr>
          <w:rFonts w:eastAsia="等线" w:ascii="Arial" w:cs="Arial" w:hAnsi="Arial"/>
          <w:sz w:val="22"/>
        </w:rPr>
        <w:t>；前后工序人员的交接内容、时点和标准；</w:t>
      </w:r>
      <w:r>
        <w:rPr>
          <w:rFonts w:eastAsia="等线" w:ascii="Arial" w:cs="Arial" w:hAnsi="Arial"/>
          <w:b w:val="true"/>
          <w:sz w:val="22"/>
        </w:rPr>
        <w:t xml:space="preserve">识别出节点工作的规范要求。 </w:t>
      </w:r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b w:val="true"/>
          <w:sz w:val="22"/>
        </w:rPr>
        <w:t>要素整理做好基础工作</w:t>
      </w:r>
      <w:r>
        <w:rPr>
          <w:rFonts w:eastAsia="等线" w:ascii="Arial" w:cs="Arial" w:hAnsi="Arial"/>
          <w:sz w:val="22"/>
        </w:rPr>
        <w:t xml:space="preserve">。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3）业务要素整理表</w:t>
      </w:r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业务要素整理表-商机验证（本工序）-修订版V4.0</w:t>
        </w:r>
      </w:hyperlink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业务要素整理表-模板及填写说明-ML-跟踪和培育线索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通过业务要素整理表定义清楚了N和T的标准和输入的方法指导书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N的质量标准指导书</w:t>
      </w:r>
      <w:r>
        <w:rPr>
          <w:rFonts w:eastAsia="等线" w:ascii="Arial" w:cs="Arial" w:hAnsi="Arial"/>
          <w:sz w:val="22"/>
        </w:rPr>
        <w:t>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提升漏斗质量--项目进漏斗时及进漏斗后对“N”的要求--区域试点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做准N的操作流程：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配置打分表：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N的审批要求：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T的质量标准详细设计</w:t>
      </w:r>
      <w:r>
        <w:rPr>
          <w:rFonts w:eastAsia="等线" w:ascii="Arial" w:cs="Arial" w:hAnsi="Arial"/>
          <w:sz w:val="22"/>
        </w:rPr>
        <w:t>：</w:t>
      </w:r>
      <w:hyperlink r:id="rId19">
        <w:r>
          <w:rPr>
            <w:rFonts w:eastAsia="等线" w:ascii="Arial" w:cs="Arial" w:hAnsi="Arial"/>
            <w:color w:val="3370ff"/>
            <w:sz w:val="22"/>
          </w:rPr>
          <w:t>销售漏斗业务机会“3T”（要求到货时间、预计下单日期、预计开标日期）指导书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716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36849">
    <w:lvl>
      <w:start w:val="1"/>
      <w:numFmt w:val="decimal"/>
      <w:suff w:val="tab"/>
      <w:lvlText w:val="%1."/>
      <w:rPr>
        <w:color w:val="3370ff"/>
      </w:rPr>
    </w:lvl>
  </w:abstractNum>
  <w:abstractNum w:abstractNumId="936850">
    <w:lvl>
      <w:start w:val="2"/>
      <w:numFmt w:val="decimal"/>
      <w:suff w:val="tab"/>
      <w:lvlText w:val="%1."/>
      <w:rPr>
        <w:color w:val="3370ff"/>
      </w:rPr>
    </w:lvl>
  </w:abstractNum>
  <w:abstractNum w:abstractNumId="936851">
    <w:lvl>
      <w:start w:val="3"/>
      <w:numFmt w:val="decimal"/>
      <w:suff w:val="tab"/>
      <w:lvlText w:val="%1."/>
      <w:rPr>
        <w:color w:val="3370ff"/>
      </w:rPr>
    </w:lvl>
  </w:abstractNum>
  <w:abstractNum w:abstractNumId="936852">
    <w:lvl>
      <w:start w:val="1"/>
      <w:numFmt w:val="decimal"/>
      <w:suff w:val="tab"/>
      <w:lvlText w:val="%1."/>
      <w:rPr>
        <w:color w:val="3370ff"/>
      </w:rPr>
    </w:lvl>
  </w:abstractNum>
  <w:abstractNum w:abstractNumId="936853">
    <w:lvl>
      <w:start w:val="2"/>
      <w:numFmt w:val="decimal"/>
      <w:suff w:val="tab"/>
      <w:lvlText w:val="%1."/>
      <w:rPr>
        <w:color w:val="3370ff"/>
      </w:rPr>
    </w:lvl>
  </w:abstractNum>
  <w:abstractNum w:abstractNumId="936854">
    <w:lvl>
      <w:start w:val="3"/>
      <w:numFmt w:val="decimal"/>
      <w:suff w:val="tab"/>
      <w:lvlText w:val="%1."/>
      <w:rPr>
        <w:color w:val="3370ff"/>
      </w:rPr>
    </w:lvl>
  </w:abstractNum>
  <w:abstractNum w:abstractNumId="936855">
    <w:lvl>
      <w:start w:val="1"/>
      <w:numFmt w:val="decimal"/>
      <w:suff w:val="tab"/>
      <w:lvlText w:val="%1."/>
      <w:rPr>
        <w:color w:val="3370ff"/>
      </w:rPr>
    </w:lvl>
  </w:abstractNum>
  <w:abstractNum w:abstractNumId="936856">
    <w:lvl>
      <w:start w:val="2"/>
      <w:numFmt w:val="decimal"/>
      <w:suff w:val="tab"/>
      <w:lvlText w:val="%1."/>
      <w:rPr>
        <w:color w:val="3370ff"/>
      </w:rPr>
    </w:lvl>
  </w:abstractNum>
  <w:abstractNum w:abstractNumId="936857">
    <w:lvl>
      <w:start w:val="3"/>
      <w:numFmt w:val="decimal"/>
      <w:suff w:val="tab"/>
      <w:lvlText w:val="%1."/>
      <w:rPr>
        <w:color w:val="3370ff"/>
      </w:rPr>
    </w:lvl>
  </w:abstractNum>
  <w:abstractNum w:abstractNumId="936858">
    <w:lvl>
      <w:numFmt w:val="bullet"/>
      <w:suff w:val="tab"/>
      <w:lvlText w:val="•"/>
      <w:rPr>
        <w:color w:val="3370ff"/>
      </w:rPr>
    </w:lvl>
  </w:abstractNum>
  <w:abstractNum w:abstractNumId="936859">
    <w:lvl>
      <w:numFmt w:val="bullet"/>
      <w:suff w:val="tab"/>
      <w:lvlText w:val="•"/>
      <w:rPr>
        <w:color w:val="3370ff"/>
      </w:rPr>
    </w:lvl>
  </w:abstractNum>
  <w:abstractNum w:abstractNumId="936860">
    <w:lvl>
      <w:numFmt w:val="bullet"/>
      <w:suff w:val="tab"/>
      <w:lvlText w:val="•"/>
      <w:rPr>
        <w:color w:val="3370ff"/>
      </w:rPr>
    </w:lvl>
  </w:abstractNum>
  <w:abstractNum w:abstractNumId="936861">
    <w:lvl>
      <w:numFmt w:val="bullet"/>
      <w:suff w:val="tab"/>
      <w:lvlText w:val="•"/>
      <w:rPr>
        <w:color w:val="3370ff"/>
      </w:rPr>
    </w:lvl>
  </w:abstractNum>
  <w:abstractNum w:abstractNumId="936862">
    <w:lvl>
      <w:numFmt w:val="bullet"/>
      <w:suff w:val="tab"/>
      <w:lvlText w:val="•"/>
      <w:rPr>
        <w:color w:val="3370ff"/>
      </w:rPr>
    </w:lvl>
  </w:abstractNum>
  <w:abstractNum w:abstractNumId="936863">
    <w:lvl>
      <w:numFmt w:val="bullet"/>
      <w:suff w:val="tab"/>
      <w:lvlText w:val="•"/>
      <w:rPr>
        <w:color w:val="3370ff"/>
      </w:rPr>
    </w:lvl>
  </w:abstractNum>
  <w:abstractNum w:abstractNumId="936864">
    <w:lvl>
      <w:numFmt w:val="bullet"/>
      <w:suff w:val="tab"/>
      <w:lvlText w:val="•"/>
      <w:rPr>
        <w:color w:val="3370ff"/>
      </w:rPr>
    </w:lvl>
  </w:abstractNum>
  <w:abstractNum w:abstractNumId="936865">
    <w:lvl>
      <w:numFmt w:val="bullet"/>
      <w:suff w:val="tab"/>
      <w:lvlText w:val="•"/>
      <w:rPr>
        <w:color w:val="3370ff"/>
      </w:rPr>
    </w:lvl>
  </w:abstractNum>
  <w:abstractNum w:abstractNumId="936866">
    <w:lvl>
      <w:numFmt w:val="bullet"/>
      <w:suff w:val="tab"/>
      <w:lvlText w:val="•"/>
      <w:rPr>
        <w:color w:val="3370ff"/>
      </w:rPr>
    </w:lvl>
  </w:abstractNum>
  <w:abstractNum w:abstractNumId="936867">
    <w:lvl>
      <w:numFmt w:val="bullet"/>
      <w:suff w:val="tab"/>
      <w:lvlText w:val="•"/>
      <w:rPr>
        <w:color w:val="3370ff"/>
      </w:rPr>
    </w:lvl>
  </w:abstractNum>
  <w:abstractNum w:abstractNumId="936868">
    <w:lvl>
      <w:numFmt w:val="bullet"/>
      <w:suff w:val="tab"/>
      <w:lvlText w:val="•"/>
      <w:rPr>
        <w:color w:val="3370ff"/>
      </w:rPr>
    </w:lvl>
  </w:abstractNum>
  <w:abstractNum w:abstractNumId="936869">
    <w:lvl>
      <w:numFmt w:val="bullet"/>
      <w:suff w:val="tab"/>
      <w:lvlText w:val="•"/>
      <w:rPr>
        <w:color w:val="3370ff"/>
      </w:rPr>
    </w:lvl>
  </w:abstractNum>
  <w:abstractNum w:abstractNumId="936870">
    <w:lvl>
      <w:numFmt w:val="bullet"/>
      <w:suff w:val="tab"/>
      <w:lvlText w:val="•"/>
      <w:rPr>
        <w:color w:val="3370ff"/>
      </w:rPr>
    </w:lvl>
  </w:abstractNum>
  <w:abstractNum w:abstractNumId="936871">
    <w:lvl>
      <w:numFmt w:val="bullet"/>
      <w:suff w:val="tab"/>
      <w:lvlText w:val="•"/>
      <w:rPr>
        <w:color w:val="3370ff"/>
      </w:rPr>
    </w:lvl>
  </w:abstractNum>
  <w:abstractNum w:abstractNumId="936872">
    <w:lvl>
      <w:numFmt w:val="bullet"/>
      <w:suff w:val="tab"/>
      <w:lvlText w:val="•"/>
      <w:rPr>
        <w:color w:val="3370ff"/>
      </w:rPr>
    </w:lvl>
  </w:abstractNum>
  <w:abstractNum w:abstractNumId="936873">
    <w:lvl>
      <w:numFmt w:val="bullet"/>
      <w:suff w:val="tab"/>
      <w:lvlText w:val="•"/>
      <w:rPr>
        <w:color w:val="3370ff"/>
      </w:rPr>
    </w:lvl>
  </w:abstractNum>
  <w:abstractNum w:abstractNumId="936874">
    <w:lvl>
      <w:numFmt w:val="bullet"/>
      <w:suff w:val="tab"/>
      <w:lvlText w:val="•"/>
      <w:rPr>
        <w:color w:val="3370ff"/>
      </w:rPr>
    </w:lvl>
  </w:abstractNum>
  <w:abstractNum w:abstractNumId="936875">
    <w:lvl>
      <w:numFmt w:val="bullet"/>
      <w:suff w:val="tab"/>
      <w:lvlText w:val="•"/>
      <w:rPr>
        <w:color w:val="3370ff"/>
      </w:rPr>
    </w:lvl>
  </w:abstractNum>
  <w:abstractNum w:abstractNumId="936876">
    <w:lvl>
      <w:numFmt w:val="bullet"/>
      <w:suff w:val="tab"/>
      <w:lvlText w:val="•"/>
      <w:rPr>
        <w:color w:val="3370ff"/>
      </w:rPr>
    </w:lvl>
  </w:abstractNum>
  <w:abstractNum w:abstractNumId="936877">
    <w:lvl>
      <w:numFmt w:val="bullet"/>
      <w:suff w:val="tab"/>
      <w:lvlText w:val="•"/>
      <w:rPr>
        <w:color w:val="3370ff"/>
      </w:rPr>
    </w:lvl>
  </w:abstractNum>
  <w:abstractNum w:abstractNumId="936878">
    <w:lvl>
      <w:numFmt w:val="bullet"/>
      <w:suff w:val="tab"/>
      <w:lvlText w:val="•"/>
      <w:rPr>
        <w:color w:val="3370ff"/>
      </w:rPr>
    </w:lvl>
  </w:abstractNum>
  <w:abstractNum w:abstractNumId="936879">
    <w:lvl>
      <w:numFmt w:val="bullet"/>
      <w:suff w:val="tab"/>
      <w:lvlText w:val="•"/>
      <w:rPr>
        <w:color w:val="3370ff"/>
      </w:rPr>
    </w:lvl>
  </w:abstractNum>
  <w:abstractNum w:abstractNumId="936880">
    <w:lvl>
      <w:numFmt w:val="bullet"/>
      <w:suff w:val="tab"/>
      <w:lvlText w:val="￮"/>
      <w:rPr>
        <w:color w:val="3370ff"/>
      </w:rPr>
    </w:lvl>
  </w:abstractNum>
  <w:abstractNum w:abstractNumId="936881">
    <w:lvl>
      <w:numFmt w:val="bullet"/>
      <w:suff w:val="tab"/>
      <w:lvlText w:val="￮"/>
      <w:rPr>
        <w:color w:val="3370ff"/>
      </w:rPr>
    </w:lvl>
  </w:abstractNum>
  <w:abstractNum w:abstractNumId="936882">
    <w:lvl>
      <w:numFmt w:val="bullet"/>
      <w:suff w:val="tab"/>
      <w:lvlText w:val="￮"/>
      <w:rPr>
        <w:color w:val="3370ff"/>
      </w:rPr>
    </w:lvl>
  </w:abstractNum>
  <w:abstractNum w:abstractNumId="936883">
    <w:lvl>
      <w:numFmt w:val="bullet"/>
      <w:suff w:val="tab"/>
      <w:lvlText w:val="￮"/>
      <w:rPr>
        <w:color w:val="3370ff"/>
      </w:rPr>
    </w:lvl>
  </w:abstractNum>
  <w:abstractNum w:abstractNumId="936884">
    <w:lvl>
      <w:numFmt w:val="bullet"/>
      <w:suff w:val="tab"/>
      <w:lvlText w:val="•"/>
      <w:rPr>
        <w:color w:val="3370ff"/>
      </w:rPr>
    </w:lvl>
  </w:abstractNum>
  <w:abstractNum w:abstractNumId="936885">
    <w:lvl>
      <w:numFmt w:val="bullet"/>
      <w:suff w:val="tab"/>
      <w:lvlText w:val="•"/>
      <w:rPr>
        <w:color w:val="3370ff"/>
      </w:rPr>
    </w:lvl>
  </w:abstractNum>
  <w:abstractNum w:abstractNumId="936886">
    <w:lvl>
      <w:numFmt w:val="bullet"/>
      <w:suff w:val="tab"/>
      <w:lvlText w:val="•"/>
      <w:rPr>
        <w:color w:val="3370ff"/>
      </w:rPr>
    </w:lvl>
  </w:abstractNum>
  <w:abstractNum w:abstractNumId="936887">
    <w:lvl>
      <w:numFmt w:val="bullet"/>
      <w:suff w:val="tab"/>
      <w:lvlText w:val="•"/>
      <w:rPr>
        <w:color w:val="3370ff"/>
      </w:rPr>
    </w:lvl>
  </w:abstractNum>
  <w:abstractNum w:abstractNumId="936888">
    <w:lvl>
      <w:numFmt w:val="bullet"/>
      <w:suff w:val="tab"/>
      <w:lvlText w:val="•"/>
      <w:rPr>
        <w:color w:val="3370ff"/>
      </w:rPr>
    </w:lvl>
  </w:abstractNum>
  <w:num w:numId="1">
    <w:abstractNumId w:val="936849"/>
  </w:num>
  <w:num w:numId="2">
    <w:abstractNumId w:val="936850"/>
  </w:num>
  <w:num w:numId="3">
    <w:abstractNumId w:val="936851"/>
  </w:num>
  <w:num w:numId="4">
    <w:abstractNumId w:val="936852"/>
  </w:num>
  <w:num w:numId="5">
    <w:abstractNumId w:val="936853"/>
  </w:num>
  <w:num w:numId="6">
    <w:abstractNumId w:val="936854"/>
  </w:num>
  <w:num w:numId="7">
    <w:abstractNumId w:val="936855"/>
  </w:num>
  <w:num w:numId="8">
    <w:abstractNumId w:val="936856"/>
  </w:num>
  <w:num w:numId="9">
    <w:abstractNumId w:val="936857"/>
  </w:num>
  <w:num w:numId="10">
    <w:abstractNumId w:val="936858"/>
  </w:num>
  <w:num w:numId="11">
    <w:abstractNumId w:val="936859"/>
  </w:num>
  <w:num w:numId="12">
    <w:abstractNumId w:val="936860"/>
  </w:num>
  <w:num w:numId="13">
    <w:abstractNumId w:val="936861"/>
  </w:num>
  <w:num w:numId="14">
    <w:abstractNumId w:val="936862"/>
  </w:num>
  <w:num w:numId="15">
    <w:abstractNumId w:val="936863"/>
  </w:num>
  <w:num w:numId="16">
    <w:abstractNumId w:val="936864"/>
  </w:num>
  <w:num w:numId="17">
    <w:abstractNumId w:val="936865"/>
  </w:num>
  <w:num w:numId="18">
    <w:abstractNumId w:val="936866"/>
  </w:num>
  <w:num w:numId="19">
    <w:abstractNumId w:val="936867"/>
  </w:num>
  <w:num w:numId="20">
    <w:abstractNumId w:val="936868"/>
  </w:num>
  <w:num w:numId="21">
    <w:abstractNumId w:val="936869"/>
  </w:num>
  <w:num w:numId="22">
    <w:abstractNumId w:val="936870"/>
  </w:num>
  <w:num w:numId="23">
    <w:abstractNumId w:val="936871"/>
  </w:num>
  <w:num w:numId="24">
    <w:abstractNumId w:val="936872"/>
  </w:num>
  <w:num w:numId="25">
    <w:abstractNumId w:val="936873"/>
  </w:num>
  <w:num w:numId="26">
    <w:abstractNumId w:val="936874"/>
  </w:num>
  <w:num w:numId="27">
    <w:abstractNumId w:val="936875"/>
  </w:num>
  <w:num w:numId="28">
    <w:abstractNumId w:val="936876"/>
  </w:num>
  <w:num w:numId="29">
    <w:abstractNumId w:val="936877"/>
  </w:num>
  <w:num w:numId="30">
    <w:abstractNumId w:val="936878"/>
  </w:num>
  <w:num w:numId="31">
    <w:abstractNumId w:val="936879"/>
  </w:num>
  <w:num w:numId="32">
    <w:abstractNumId w:val="936880"/>
  </w:num>
  <w:num w:numId="33">
    <w:abstractNumId w:val="936881"/>
  </w:num>
  <w:num w:numId="34">
    <w:abstractNumId w:val="936882"/>
  </w:num>
  <w:num w:numId="35">
    <w:abstractNumId w:val="936883"/>
  </w:num>
  <w:num w:numId="36">
    <w:abstractNumId w:val="936884"/>
  </w:num>
  <w:num w:numId="37">
    <w:abstractNumId w:val="936885"/>
  </w:num>
  <w:num w:numId="38">
    <w:abstractNumId w:val="936886"/>
  </w:num>
  <w:num w:numId="39">
    <w:abstractNumId w:val="936887"/>
  </w:num>
  <w:num w:numId="40">
    <w:abstractNumId w:val="9368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jpeg" Type="http://schemas.openxmlformats.org/officeDocument/2006/relationships/image"/><Relationship Id="rId12" Target="https://ruijie.feishu.cn/sheets/V0HzsEQ3nhxAOvtLR3Hc6nzKnnd?sheet=1hICUH" TargetMode="External" Type="http://schemas.openxmlformats.org/officeDocument/2006/relationships/hyperlink"/><Relationship Id="rId13" Target="https://ruijie.feishu.cn/wiki/Y0jbwBtzJiWxMvkgOMJcg0AWnCg?sheet=A4EWEG" TargetMode="External" Type="http://schemas.openxmlformats.org/officeDocument/2006/relationships/hyperlink"/><Relationship Id="rId14" Target="https://ruijie.feishu.cn/wiki/KlCvwQLw3iaL5VkYIRccW3shnVf" TargetMode="External" Type="http://schemas.openxmlformats.org/officeDocument/2006/relationships/hyperlink"/><Relationship Id="rId15" Target="media/image5.png" Type="http://schemas.openxmlformats.org/officeDocument/2006/relationships/imag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18" Target="media/image8.png" Type="http://schemas.openxmlformats.org/officeDocument/2006/relationships/image"/><Relationship Id="rId19" Target="https://ruijie.feishu.cn/wiki/VjdNwoMU7inEYQkPlvFcvUUgnmb" TargetMode="External" Type="http://schemas.openxmlformats.org/officeDocument/2006/relationships/hyperlink"/><Relationship Id="rId2" Target="styles.xml" Type="http://schemas.openxmlformats.org/officeDocument/2006/relationships/styles"/><Relationship Id="rId20" Target="media/image9.png" Type="http://schemas.openxmlformats.org/officeDocument/2006/relationships/image"/><Relationship Id="rId21" Target="media/image10.png" Type="http://schemas.openxmlformats.org/officeDocument/2006/relationships/image"/><Relationship Id="rId22" Target="media/image11.png" Type="http://schemas.openxmlformats.org/officeDocument/2006/relationships/image"/><Relationship Id="rId23" Target="media/image12.png" Type="http://schemas.openxmlformats.org/officeDocument/2006/relationships/image"/><Relationship Id="rId24" Target="media/image13.png" Type="http://schemas.openxmlformats.org/officeDocument/2006/relationships/image"/><Relationship Id="rId25" Target="media/image14.png" Type="http://schemas.openxmlformats.org/officeDocument/2006/relationships/image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ttps://ruijie.feishu.cn/sheets/VXOZsEw6Nh7kWZtcKIycJNsqn2e?sheet=KZZJrc" TargetMode="External" Type="http://schemas.openxmlformats.org/officeDocument/2006/relationships/hyperlink"/><Relationship Id="rId8" Target="https://ruijie.feishu.cn/wiki/BYcmw2Y7IixWZgkGjvGcKC7Tnxh?sheet=KZZJrc" TargetMode="External" Type="http://schemas.openxmlformats.org/officeDocument/2006/relationships/hyperlink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2025-09-24T02:33:39Z</dcterms:created>
  <dc:creator>Apache POI</dc:creator>
</cp:coreProperties>
</file>