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Mira Print Compliance Sheet</w:t>
      </w:r>
    </w:p>
    <w:p>
      <w:r>
        <w:t>Company: Mira Print Services</w:t>
      </w:r>
    </w:p>
    <w:p>
      <w:r>
        <w:t>Product: Multilingual user manual</w:t>
      </w:r>
    </w:p>
    <w:p>
      <w:r>
        <w:t>Model: MP-MAN-06</w:t>
      </w:r>
    </w:p>
    <w:p>
      <w:r>
        <w:t>MOQ: 2000 pcs</w:t>
      </w:r>
    </w:p>
    <w:p>
      <w:r>
        <w:t>Lead time: 10 days</w:t>
      </w:r>
    </w:p>
    <w:p>
      <w:r>
        <w:t>Contact: Sophie Tan</w:t>
      </w:r>
    </w:p>
    <w:p>
      <w:r>
        <w:t>Email: sophie.tan@mira.example</w:t>
      </w:r>
    </w:p>
    <w:p>
      <w:r>
        <w:t>Certification: FSC Chain of Custody</w:t>
      </w:r>
    </w:p>
    <w:p>
      <w:r>
        <w:t>This specification does not include price or payment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 Print Compliance Sheet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