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5. EFA loadings for personal belonging items (1-factor)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91"/>
        <w:gridCol w:w="961"/>
      </w:tblGrid>
      <w:tr>
        <w:trPr>
          <w:trHeight w:val="60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CF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item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CF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MR1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pb01_01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pb01_02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pb01_03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pb01_04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pb01_05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2026-09-30T18:48:50Z</dcterms:modified>
  <cp:category/>
</cp:coreProperties>
</file>