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EFA loadings for personal belonging items (2-factor)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961"/>
        <w:gridCol w:w="1034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pb01_05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2026-09-30T18:48:51Z</dcterms:modified>
  <cp:category/>
</cp:coreProperties>
</file>