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7. EFA loadings for trust items (1-factor)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18"/>
        <w:gridCol w:w="961"/>
        <w:gridCol w:w="1218"/>
        <w:gridCol w:w="1120"/>
      </w:tblGrid>
      <w:tr>
        <w:trPr>
          <w:trHeight w:val="60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item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item_2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MR1_2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in01_01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in06_03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in01_02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in06_04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in02_01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in07_01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in02_02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in07_02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in03_01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in07_03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in03_02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in07_05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in03_03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in07_06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in05_01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in08_01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in05_02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in08_02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in05_03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in08_04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in06_01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in08_05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in06_02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2026-09-30T18:48:53Z</dcterms:modified>
  <cp:category/>
</cp:coreProperties>
</file>