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8. EFA loadings for trust items (2-factor)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1034"/>
        <w:gridCol w:w="1034"/>
        <w:gridCol w:w="1218"/>
        <w:gridCol w:w="1120"/>
        <w:gridCol w:w="1120"/>
      </w:tblGrid>
      <w:tr>
        <w:trPr>
          <w:trHeight w:val="60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MR1_2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MR2_2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in01_01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in06_03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in01_02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in06_04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in02_01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in02_02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in03_01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in03_02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in03_03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in07_06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in05_01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in08_01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in05_02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in08_02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in05_03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in08_04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in06_01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in08_05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in06_02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2026-09-30T18:48:54Z</dcterms:modified>
  <cp:category/>
</cp:coreProperties>
</file>