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9. EFA loadings for minimal trust items (1-factor)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961"/>
      </w:tblGrid>
      <w:tr>
        <w:trPr>
          <w:trHeight w:val="60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in01_01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in02_01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in03_01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in05_01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2026-09-30T18:48:55Z</dcterms:modified>
  <cp:category/>
</cp:coreProperties>
</file>