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10. EFA loadings for minimal trust items (2-factor)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034"/>
        <w:gridCol w:w="1034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2026-09-30T18:48:56Z</dcterms:modified>
  <cp:category/>
</cp:coreProperties>
</file>