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Response rates (key variables)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84"/>
        <w:gridCol w:w="1132"/>
        <w:gridCol w:w="1902"/>
        <w:gridCol w:w="2098"/>
      </w:tblGrid>
      <w:tr>
        <w:trPr>
          <w:trHeight w:val="60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n_nonmissing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pct_nonmissing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Institutional trust (broad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Institutional trust (minimal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German citizenship (binary)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Own country of birth (CI01 or CI02)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Mother's country of birth (CI03 or CI04)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Father's country of birth (CI05 or CI06)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2026-09-30T18:48:32Z</dcterms:modified>
  <cp:category/>
</cp:coreProperties>
</file>