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6. EFA loadings for personal belonging items (2-factor)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1"/>
        <w:gridCol w:w="961"/>
        <w:gridCol w:w="1034"/>
      </w:tblGrid>
      <w:tr>
        <w:trPr>
          <w:trHeight w:val="60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item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MR2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pb01_01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pb01_02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pb01_03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pb01_04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pb01_05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2026-09-30T02:30:13Z</dcterms:modified>
  <cp:category/>
</cp:coreProperties>
</file>