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8. EFA loadings for trust items (2-factor)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218"/>
        <w:gridCol w:w="1034"/>
        <w:gridCol w:w="1034"/>
        <w:gridCol w:w="1218"/>
        <w:gridCol w:w="1120"/>
        <w:gridCol w:w="1120"/>
      </w:tblGrid>
      <w:tr>
        <w:trPr>
          <w:trHeight w:val="608" w:hRule="auto"/>
          <w:tblHeader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item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MR1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item_2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MR2_2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MR1_2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in01_01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in06_03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in01_02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in06_04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in02_01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in07_01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in02_02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in07_02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in03_01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in07_03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-0.128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in03_02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in07_05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in03_03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in07_06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-0.504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in05_01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in08_01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-0.134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in05_02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in08_02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-0.156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in05_03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in08_04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-0.127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in06_01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in08_05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-0.172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in06_02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2026-09-30T02:30:17Z</dcterms:modified>
  <cp:category/>
</cp:coreProperties>
</file>