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9. EFA loadings for minimal trust items (1-factor)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8"/>
        <w:gridCol w:w="961"/>
      </w:tblGrid>
      <w:tr>
        <w:trPr>
          <w:trHeight w:val="608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MR1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in01_01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in02_01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in03_01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in05_01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in06_01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in07_01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in08_01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2026-09-30T02:30:17Z</dcterms:modified>
  <cp:category/>
</cp:coreProperties>
</file>