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10. EFA loadings for minimal trust items (2-factor)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034"/>
        <w:gridCol w:w="1034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in01_01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in02_01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2026-09-30T02:30:18Z</dcterms:modified>
  <cp:category/>
</cp:coreProperties>
</file>