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Response rates (key variables)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484"/>
        <w:gridCol w:w="1132"/>
        <w:gridCol w:w="1902"/>
        <w:gridCol w:w="2098"/>
      </w:tblGrid>
      <w:tr>
        <w:trPr>
          <w:trHeight w:val="608" w:hRule="auto"/>
          <w:tblHeader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FCFC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FCFC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n_total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FCFC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n_nonmissing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FCFC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pct_nonmissing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Institutional trust (broad mean)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80.4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Institutional trust (minimal mean)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80.4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German citizenship (binary)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84.3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Own country of birth (CI01 or CI02)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Mother's country of birth (CI03 or CI04)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Father's country of birth (CI05 or CI06)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2026-09-30T02:29:55Z</dcterms:modified>
  <cp:category/>
</cp:coreProperties>
</file>