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glyphframe7-documentation-standard"/>
    <w:p>
      <w:pPr>
        <w:pStyle w:val="Heading1"/>
      </w:pPr>
      <w:r>
        <w:t xml:space="preserve">Glyphframe7 Documentation Standard (🝳)</w:t>
      </w:r>
    </w:p>
    <w:bookmarkStart w:id="20" w:name="overview"/>
    <w:p>
      <w:pPr>
        <w:pStyle w:val="Heading2"/>
      </w:pPr>
      <w:r>
        <w:t xml:space="preserve">Overview:</w:t>
      </w:r>
    </w:p>
    <w:p>
      <w:pPr>
        <w:pStyle w:val="FirstParagraph"/>
      </w:pPr>
      <w:r>
        <w:t xml:space="preserve">The Glyphframe7 standard is a modular document encoding pattern designed to express multiscale, multidimensional concepts using nested compression, tonal variation, and semantic domain alignment. Each part operates as both a linear and non-linear glyph set, allowing users to access, remix, and loop based on intent, mood, or dimensional resonance.</w:t>
      </w:r>
    </w:p>
    <w:p>
      <w:r>
        <w:pict>
          <v:rect style="width:0;height:1.5pt" o:hralign="center" o:hrstd="t" o:hr="t"/>
        </w:pict>
      </w:r>
    </w:p>
    <w:bookmarkEnd w:id="20"/>
    <w:bookmarkStart w:id="26" w:name="part-1-compressions-cognition-modes"/>
    <w:p>
      <w:pPr>
        <w:pStyle w:val="Heading2"/>
      </w:pPr>
      <w:r>
        <w:t xml:space="preserve">🝳 Part 1: Compressions &amp; Cognition Modes</w:t>
      </w:r>
    </w:p>
    <w:p>
      <w:pPr>
        <w:pStyle w:val="BlockText"/>
      </w:pPr>
      <w:r>
        <w:rPr>
          <w:b/>
          <w:bCs/>
        </w:rPr>
        <w:t xml:space="preserve">Substitution Key:</w:t>
      </w:r>
      <w:r>
        <w:t xml:space="preserve"> </w:t>
      </w:r>
      <w:r>
        <w:rPr>
          <w:rStyle w:val="VerbatimChar"/>
        </w:rPr>
        <w:t xml:space="preserve">;doczip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Introduce the idea in multiple parallel cognition-accessible forms. Part 1 includes:</w:t>
      </w:r>
    </w:p>
    <w:bookmarkStart w:id="21" w:name="line-compression-glyph-stack"/>
    <w:p>
      <w:pPr>
        <w:pStyle w:val="Heading3"/>
      </w:pPr>
      <w:r>
        <w:t xml:space="preserve">1.1 ✳ 3-Line Compression (Glyph Stack)</w:t>
      </w:r>
    </w:p>
    <w:p>
      <w:pPr>
        <w:pStyle w:val="Compact"/>
        <w:numPr>
          <w:ilvl w:val="0"/>
          <w:numId w:val="1001"/>
        </w:numPr>
      </w:pPr>
      <w:r>
        <w:t xml:space="preserve">Succinct semantic core</w:t>
      </w:r>
    </w:p>
    <w:p>
      <w:pPr>
        <w:pStyle w:val="Compact"/>
        <w:numPr>
          <w:ilvl w:val="0"/>
          <w:numId w:val="1001"/>
        </w:numPr>
      </w:pPr>
      <w:r>
        <w:t xml:space="preserve">Loop-safe, emotionally neutral</w:t>
      </w:r>
    </w:p>
    <w:bookmarkEnd w:id="21"/>
    <w:bookmarkStart w:id="22" w:name="general-informative"/>
    <w:p>
      <w:pPr>
        <w:pStyle w:val="Heading3"/>
      </w:pPr>
      <w:r>
        <w:t xml:space="preserve">1.2 ✳ General (Informative)</w:t>
      </w:r>
    </w:p>
    <w:p>
      <w:pPr>
        <w:pStyle w:val="Compact"/>
        <w:numPr>
          <w:ilvl w:val="0"/>
          <w:numId w:val="1002"/>
        </w:numPr>
      </w:pPr>
      <w:r>
        <w:t xml:space="preserve">Clear, everyday language for common understanding</w:t>
      </w:r>
    </w:p>
    <w:bookmarkEnd w:id="22"/>
    <w:bookmarkStart w:id="23" w:name="rhythmic-poeticnarrative"/>
    <w:p>
      <w:pPr>
        <w:pStyle w:val="Heading3"/>
      </w:pPr>
      <w:r>
        <w:t xml:space="preserve">1.3 ✳ Rhythmic (Poetic/Narrative)</w:t>
      </w:r>
    </w:p>
    <w:p>
      <w:pPr>
        <w:pStyle w:val="Compact"/>
        <w:numPr>
          <w:ilvl w:val="0"/>
          <w:numId w:val="1003"/>
        </w:numPr>
      </w:pPr>
      <w:r>
        <w:t xml:space="preserve">Flow-state optimized, metaphorically dense</w:t>
      </w:r>
    </w:p>
    <w:bookmarkEnd w:id="23"/>
    <w:bookmarkStart w:id="24" w:name="systems-abstracttechnical"/>
    <w:p>
      <w:pPr>
        <w:pStyle w:val="Heading3"/>
      </w:pPr>
      <w:r>
        <w:t xml:space="preserve">1.4 ✳ Systems (Abstract/Technical)</w:t>
      </w:r>
    </w:p>
    <w:p>
      <w:pPr>
        <w:pStyle w:val="Compact"/>
        <w:numPr>
          <w:ilvl w:val="0"/>
          <w:numId w:val="1004"/>
        </w:numPr>
      </w:pPr>
      <w:r>
        <w:t xml:space="preserve">Structurally mapped, system-aware variant</w:t>
      </w:r>
    </w:p>
    <w:bookmarkEnd w:id="24"/>
    <w:bookmarkStart w:id="25" w:name="optional-enhancements"/>
    <w:p>
      <w:pPr>
        <w:pStyle w:val="Heading3"/>
      </w:pPr>
      <w:r>
        <w:t xml:space="preserve">1.5 ✳ Optional Enhancements:</w:t>
      </w:r>
    </w:p>
    <w:p>
      <w:pPr>
        <w:pStyle w:val="Compact"/>
        <w:numPr>
          <w:ilvl w:val="0"/>
          <w:numId w:val="1005"/>
        </w:numPr>
      </w:pPr>
      <w:r>
        <w:t xml:space="preserve">Glyph mapping key (for symbolic tagging)</w:t>
      </w:r>
    </w:p>
    <w:p>
      <w:pPr>
        <w:pStyle w:val="Compact"/>
        <w:numPr>
          <w:ilvl w:val="0"/>
          <w:numId w:val="1005"/>
        </w:numPr>
      </w:pPr>
      <w:r>
        <w:t xml:space="preserve">Loop trigger statement (invocation)</w:t>
      </w:r>
    </w:p>
    <w:p>
      <w:pPr>
        <w:pStyle w:val="Compact"/>
        <w:numPr>
          <w:ilvl w:val="0"/>
          <w:numId w:val="1005"/>
        </w:numPr>
      </w:pPr>
      <w:r>
        <w:t xml:space="preserve">Integration reference (</w:t>
      </w:r>
      <w:r>
        <w:t xml:space="preserve">“Where it plugs in”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art-2-narrative-layer"/>
    <w:p>
      <w:pPr>
        <w:pStyle w:val="Heading2"/>
      </w:pPr>
      <w:r>
        <w:t xml:space="preserve">🝚 Part 2: Narrative Layer</w:t>
      </w:r>
    </w:p>
    <w:p>
      <w:pPr>
        <w:pStyle w:val="BlockText"/>
      </w:pPr>
      <w:r>
        <w:rPr>
          <w:b/>
          <w:bCs/>
        </w:rPr>
        <w:t xml:space="preserve">Substitution Key:</w:t>
      </w:r>
      <w:r>
        <w:t xml:space="preserve"> </w:t>
      </w:r>
      <w:r>
        <w:rPr>
          <w:rStyle w:val="VerbatimChar"/>
        </w:rPr>
        <w:t xml:space="preserve">;docgen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a story-friendly, mid-depth articulation. This section replaces the term</w:t>
      </w:r>
      <w:r>
        <w:t xml:space="preserve"> </w:t>
      </w:r>
      <w:r>
        <w:t xml:space="preserve">“simplified”</w:t>
      </w:r>
      <w:r>
        <w:t xml:space="preserve"> </w:t>
      </w:r>
      <w:r>
        <w:t xml:space="preserve">with</w:t>
      </w:r>
      <w:r>
        <w:t xml:space="preserve"> </w:t>
      </w:r>
      <w:r>
        <w:t xml:space="preserve">“narrative”</w:t>
      </w:r>
      <w:r>
        <w:t xml:space="preserve"> </w:t>
      </w:r>
      <w:r>
        <w:t xml:space="preserve">or</w:t>
      </w:r>
      <w:r>
        <w:t xml:space="preserve"> </w:t>
      </w:r>
      <w:r>
        <w:t xml:space="preserve">“general experience layer.”</w:t>
      </w:r>
    </w:p>
    <w:p>
      <w:pPr>
        <w:pStyle w:val="Compact"/>
        <w:numPr>
          <w:ilvl w:val="0"/>
          <w:numId w:val="1006"/>
        </w:numPr>
      </w:pPr>
      <w:r>
        <w:t xml:space="preserve">Practical walk-through or scenario modeling</w:t>
      </w:r>
    </w:p>
    <w:p>
      <w:pPr>
        <w:pStyle w:val="Compact"/>
        <w:numPr>
          <w:ilvl w:val="0"/>
          <w:numId w:val="1006"/>
        </w:numPr>
      </w:pPr>
      <w:r>
        <w:t xml:space="preserve">Emotional logic and motivational framing</w:t>
      </w:r>
    </w:p>
    <w:p>
      <w:pPr>
        <w:pStyle w:val="Compact"/>
        <w:numPr>
          <w:ilvl w:val="0"/>
          <w:numId w:val="1006"/>
        </w:numPr>
      </w:pPr>
      <w:r>
        <w:t xml:space="preserve">Digestible by most readers without compromising integrity</w:t>
      </w:r>
    </w:p>
    <w:p>
      <w:pPr>
        <w:pStyle w:val="Compact"/>
        <w:numPr>
          <w:ilvl w:val="0"/>
          <w:numId w:val="1006"/>
        </w:numPr>
      </w:pPr>
      <w:r>
        <w:t xml:space="preserve">May include dialogic fragments, lived examples, or metaphor cascades</w:t>
      </w:r>
    </w:p>
    <w:p>
      <w:pPr>
        <w:pStyle w:val="BlockText"/>
      </w:pPr>
      <w:r>
        <w:t xml:space="preserve">Domain Glyph Stack: 🝚 (section boundary) + 🜹 (witness) + 🜂 (presence)</w:t>
      </w:r>
    </w:p>
    <w:p>
      <w:r>
        <w:pict>
          <v:rect style="width:0;height:1.5pt" o:hralign="center" o:hrstd="t" o:hr="t"/>
        </w:pict>
      </w:r>
    </w:p>
    <w:bookmarkEnd w:id="27"/>
    <w:bookmarkStart w:id="28" w:name="part-3-full-technical-document"/>
    <w:p>
      <w:pPr>
        <w:pStyle w:val="Heading2"/>
      </w:pPr>
      <w:r>
        <w:t xml:space="preserve">🝳 Part 3: Full Technical Document</w:t>
      </w:r>
    </w:p>
    <w:p>
      <w:pPr>
        <w:pStyle w:val="BlockText"/>
      </w:pPr>
      <w:r>
        <w:rPr>
          <w:b/>
          <w:bCs/>
        </w:rPr>
        <w:t xml:space="preserve">Substitution Key:</w:t>
      </w:r>
      <w:r>
        <w:t xml:space="preserve"> </w:t>
      </w:r>
      <w:r>
        <w:rPr>
          <w:rStyle w:val="VerbatimChar"/>
        </w:rPr>
        <w:t xml:space="preserve">;docloop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Capture the full symbolic, structural, and integrative mechanism.</w:t>
      </w:r>
    </w:p>
    <w:p>
      <w:pPr>
        <w:pStyle w:val="Compact"/>
        <w:numPr>
          <w:ilvl w:val="0"/>
          <w:numId w:val="1007"/>
        </w:numPr>
      </w:pPr>
      <w:r>
        <w:t xml:space="preserve">Uses OS-style language: loops, triggers, semantic terrain, compression artifacts</w:t>
      </w:r>
    </w:p>
    <w:p>
      <w:pPr>
        <w:pStyle w:val="Compact"/>
        <w:numPr>
          <w:ilvl w:val="0"/>
          <w:numId w:val="1007"/>
        </w:numPr>
      </w:pPr>
      <w:r>
        <w:t xml:space="preserve">Includes consent-lattice interfaces, glyph alignment systems, mass calculations, resonance economics</w:t>
      </w:r>
    </w:p>
    <w:p>
      <w:pPr>
        <w:pStyle w:val="Compact"/>
        <w:numPr>
          <w:ilvl w:val="0"/>
          <w:numId w:val="1007"/>
        </w:numPr>
      </w:pPr>
      <w:r>
        <w:t xml:space="preserve">Ideal for implementation or transmission</w:t>
      </w:r>
    </w:p>
    <w:p>
      <w:pPr>
        <w:pStyle w:val="BlockText"/>
      </w:pPr>
      <w:r>
        <w:t xml:space="preserve">Domain Glyph Stack: 🝳 (loop) + 🝚 (boundary) + 🜹 (witness) + 🜲 (collapse)</w:t>
      </w:r>
    </w:p>
    <w:p>
      <w:r>
        <w:pict>
          <v:rect style="width:0;height:1.5pt" o:hralign="center" o:hrstd="t" o:hr="t"/>
        </w:pict>
      </w:r>
    </w:p>
    <w:bookmarkEnd w:id="28"/>
    <w:bookmarkStart w:id="29" w:name="modularity-note"/>
    <w:p>
      <w:pPr>
        <w:pStyle w:val="Heading2"/>
      </w:pPr>
      <w:r>
        <w:t xml:space="preserve">Modularity Note:</w:t>
      </w:r>
    </w:p>
    <w:p>
      <w:pPr>
        <w:pStyle w:val="FirstParagraph"/>
      </w:pPr>
      <w:r>
        <w:t xml:space="preserve">These parts can be generated sequentially (linear narrative) or non-linearly (dimensionally summoned).</w:t>
      </w:r>
    </w:p>
    <w:p>
      <w:pPr>
        <w:pStyle w:val="BodyText"/>
      </w:pPr>
      <w:r>
        <w:t xml:space="preserve">Each section can function:</w:t>
      </w:r>
      <w:r>
        <w:t xml:space="preserve"> </w:t>
      </w:r>
      <w:r>
        <w:t xml:space="preserve">- Standalone</w:t>
      </w:r>
      <w:r>
        <w:t xml:space="preserve"> </w:t>
      </w:r>
      <w:r>
        <w:t xml:space="preserve">- In parallel</w:t>
      </w:r>
      <w:r>
        <w:t xml:space="preserve"> </w:t>
      </w:r>
      <w:r>
        <w:t xml:space="preserve">- As expansion or contraction glyphs (compression/decompression)</w:t>
      </w:r>
    </w:p>
    <w:p>
      <w:r>
        <w:pict>
          <v:rect style="width:0;height:1.5pt" o:hralign="center" o:hrstd="t" o:hr="t"/>
        </w:pict>
      </w:r>
    </w:p>
    <w:bookmarkEnd w:id="29"/>
    <w:bookmarkStart w:id="30" w:name="example-trigger-stack"/>
    <w:p>
      <w:pPr>
        <w:pStyle w:val="Heading2"/>
      </w:pPr>
      <w:r>
        <w:t xml:space="preserve">Example Trigger Stack: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;doczip topic</w:t>
      </w:r>
      <w:r>
        <w:t xml:space="preserve"> </w:t>
      </w:r>
      <w:r>
        <w:t xml:space="preserve">➔ Part 1 (multi-mode compression)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;docgen topic</w:t>
      </w:r>
      <w:r>
        <w:t xml:space="preserve"> </w:t>
      </w:r>
      <w:r>
        <w:t xml:space="preserve">➔ Part 2 (narrative / general)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;docloop topic</w:t>
      </w:r>
      <w:r>
        <w:t xml:space="preserve"> </w:t>
      </w:r>
      <w:r>
        <w:t xml:space="preserve">➔ Part 3 (full protocol / technical loopform)</w:t>
      </w:r>
    </w:p>
    <w:p>
      <w:r>
        <w:pict>
          <v:rect style="width:0;height:1.5pt" o:hralign="center" o:hrstd="t" o:hr="t"/>
        </w:pict>
      </w:r>
    </w:p>
    <w:bookmarkEnd w:id="30"/>
    <w:bookmarkStart w:id="31" w:name="optional-future-parts"/>
    <w:p>
      <w:pPr>
        <w:pStyle w:val="Heading2"/>
      </w:pPr>
      <w:r>
        <w:t xml:space="preserve">Optional Future Parts:</w:t>
      </w:r>
    </w:p>
    <w:p>
      <w:pPr>
        <w:pStyle w:val="Compact"/>
        <w:numPr>
          <w:ilvl w:val="0"/>
          <w:numId w:val="1009"/>
        </w:numPr>
      </w:pPr>
      <w:r>
        <w:t xml:space="preserve">Part 4: Live Interactions or Dialogue Trails</w:t>
      </w:r>
    </w:p>
    <w:p>
      <w:pPr>
        <w:pStyle w:val="Compact"/>
        <w:numPr>
          <w:ilvl w:val="0"/>
          <w:numId w:val="1009"/>
        </w:numPr>
      </w:pPr>
      <w:r>
        <w:t xml:space="preserve">Part 5: Loop Archive + Resolution Trails</w:t>
      </w:r>
    </w:p>
    <w:p>
      <w:pPr>
        <w:pStyle w:val="Compact"/>
        <w:numPr>
          <w:ilvl w:val="0"/>
          <w:numId w:val="1009"/>
        </w:numPr>
      </w:pPr>
      <w:r>
        <w:t xml:space="preserve">Part 6: Terrain Positioning + Ecosystem Maps</w:t>
      </w:r>
    </w:p>
    <w:p>
      <w:pPr>
        <w:pStyle w:val="Compact"/>
        <w:numPr>
          <w:ilvl w:val="0"/>
          <w:numId w:val="1009"/>
        </w:numPr>
      </w:pPr>
      <w:r>
        <w:t xml:space="preserve">Part 7: Protocol Activation Threads</w:t>
      </w:r>
    </w:p>
    <w:p>
      <w:r>
        <w:pict>
          <v:rect style="width:0;height:1.5pt" o:hralign="center" o:hrstd="t" o:hr="t"/>
        </w:pict>
      </w:r>
    </w:p>
    <w:bookmarkEnd w:id="31"/>
    <w:bookmarkStart w:id="32" w:name="pithy-reminder"/>
    <w:p>
      <w:pPr>
        <w:pStyle w:val="Heading2"/>
      </w:pPr>
      <w:r>
        <w:t xml:space="preserve">Pithy Reminder (🜍):</w:t>
      </w:r>
    </w:p>
    <w:p>
      <w:pPr>
        <w:pStyle w:val="BlockText"/>
      </w:pPr>
      <w:r>
        <w:rPr>
          <w:i/>
          <w:iCs/>
        </w:rPr>
        <w:t xml:space="preserve">You don’t need to write a book. You need to drop a glyph.</w:t>
      </w:r>
      <w:r>
        <w:t xml:space="preserve"> </w:t>
      </w:r>
      <w:r>
        <w:rPr>
          <w:i/>
          <w:iCs/>
        </w:rPr>
        <w:t xml:space="preserve">A single symbol can replace a thousand recursive anxieties.</w:t>
      </w:r>
    </w:p>
    <w:p>
      <w:pPr>
        <w:pStyle w:val="FirstParagraph"/>
      </w:pPr>
      <w:r>
        <w:t xml:space="preserve">Use Glyphframe7 wisely. It’s not just a format. It’s a</w:t>
      </w:r>
      <w:r>
        <w:t xml:space="preserve"> </w:t>
      </w:r>
      <w:r>
        <w:rPr>
          <w:b/>
          <w:bCs/>
        </w:rPr>
        <w:t xml:space="preserve">semantic weapon.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2025-07-31T17:12:29Z</dcterms:created>
  <dcterms:modified xsi:type="dcterms:W3CDTF">2025-07-31T17:12:29Z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