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5E32"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b/>
          <w:bCs/>
          <w:kern w:val="0"/>
          <w14:ligatures w14:val="none"/>
        </w:rPr>
        <w:t>AI Strategy Opportunity for F&amp;C</w:t>
      </w:r>
      <w:r w:rsidRPr="00B84960">
        <w:rPr>
          <w:rFonts w:ascii="Times New Roman" w:eastAsia="Times New Roman" w:hAnsi="Times New Roman" w:cs="Times New Roman"/>
          <w:kern w:val="0"/>
          <w14:ligatures w14:val="none"/>
        </w:rPr>
        <w:br/>
      </w:r>
      <w:r w:rsidRPr="00B84960">
        <w:rPr>
          <w:rFonts w:ascii="Times New Roman" w:eastAsia="Times New Roman" w:hAnsi="Times New Roman" w:cs="Times New Roman"/>
          <w:i/>
          <w:iCs/>
          <w:kern w:val="0"/>
          <w14:ligatures w14:val="none"/>
        </w:rPr>
        <w:t>Leveraging Existing Governance Strengths to Build a Defensible AI Capability</w:t>
      </w:r>
    </w:p>
    <w:p w14:paraId="4400892B"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pict w14:anchorId="3E0D6116">
          <v:rect id="_x0000_i1030" alt="" style="width:468pt;height:.05pt;mso-width-percent:0;mso-height-percent:0;mso-width-percent:0;mso-height-percent:0" o:hralign="center" o:hrstd="t" o:hr="t" fillcolor="#a0a0a0" stroked="f"/>
        </w:pict>
      </w:r>
    </w:p>
    <w:p w14:paraId="639B0AC4" w14:textId="77777777" w:rsidR="00B84960" w:rsidRPr="00B84960" w:rsidRDefault="00B84960" w:rsidP="00B84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4960">
        <w:rPr>
          <w:rFonts w:ascii="Times New Roman" w:eastAsia="Times New Roman" w:hAnsi="Times New Roman" w:cs="Times New Roman"/>
          <w:b/>
          <w:bCs/>
          <w:kern w:val="0"/>
          <w:sz w:val="27"/>
          <w:szCs w:val="27"/>
          <w14:ligatures w14:val="none"/>
        </w:rPr>
        <w:t>Context</w:t>
      </w:r>
    </w:p>
    <w:p w14:paraId="4DF8DA5E"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Artificial Intelligence — particularly agentic AI — is accelerating rapidly across industries. In many sectors, deployment is moving quickly because the cost of experimentation is low and the governance burden is minimal.</w:t>
      </w:r>
    </w:p>
    <w:p w14:paraId="5EDE27D5"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Accounting and client-sensitive environments are different.</w:t>
      </w:r>
    </w:p>
    <w:p w14:paraId="0BAAEE80"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For firms operating under fiduciary duty, regulatory scrutiny, and strict client confidentiality, AI cannot simply be layered on through centralized data ingestion or generic automation frameworks. Traditional “scale AI first, solve governance later” models are structurally incompatible with accounting environments.</w:t>
      </w:r>
    </w:p>
    <w:p w14:paraId="378C48FE"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The firms that succeed will not be those that move fastest. They will be those that move correctly.</w:t>
      </w:r>
    </w:p>
    <w:p w14:paraId="1BD8FD5C"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pict w14:anchorId="2EE1D5A3">
          <v:rect id="_x0000_i1029" alt="" style="width:468pt;height:.05pt;mso-width-percent:0;mso-height-percent:0;mso-width-percent:0;mso-height-percent:0" o:hralign="center" o:hrstd="t" o:hr="t" fillcolor="#a0a0a0" stroked="f"/>
        </w:pict>
      </w:r>
    </w:p>
    <w:p w14:paraId="6E7C7807" w14:textId="77777777" w:rsidR="00B84960" w:rsidRPr="00B84960" w:rsidRDefault="00B84960" w:rsidP="00B84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4960">
        <w:rPr>
          <w:rFonts w:ascii="Times New Roman" w:eastAsia="Times New Roman" w:hAnsi="Times New Roman" w:cs="Times New Roman"/>
          <w:b/>
          <w:bCs/>
          <w:kern w:val="0"/>
          <w:sz w:val="27"/>
          <w:szCs w:val="27"/>
          <w14:ligatures w14:val="none"/>
        </w:rPr>
        <w:t>F&amp;C’s Structural Advantage</w:t>
      </w:r>
    </w:p>
    <w:p w14:paraId="38159AEE"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Most organizations lack the foundational architecture required for safe AI deployment. F&amp;C already possesses it.</w:t>
      </w:r>
    </w:p>
    <w:p w14:paraId="2FE57600"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b/>
          <w:bCs/>
          <w:kern w:val="0"/>
          <w14:ligatures w14:val="none"/>
        </w:rPr>
        <w:t>1. Separation of Duties as an Architectural Asset</w:t>
      </w:r>
      <w:r w:rsidRPr="00B84960">
        <w:rPr>
          <w:rFonts w:ascii="Times New Roman" w:eastAsia="Times New Roman" w:hAnsi="Times New Roman" w:cs="Times New Roman"/>
          <w:kern w:val="0"/>
          <w14:ligatures w14:val="none"/>
        </w:rPr>
        <w:br/>
        <w:t>What is often viewed as compliance overhead is, in fact, an ideal blueprint for bounded, role-constrained AI augmentation. F&amp;C’s distributed responsibility model maps naturally to hybrid agent systems aligned with defined authority boundaries.</w:t>
      </w:r>
    </w:p>
    <w:p w14:paraId="10ECBA2A"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b/>
          <w:bCs/>
          <w:kern w:val="0"/>
          <w14:ligatures w14:val="none"/>
        </w:rPr>
        <w:t>2. Client Data Segmentation and Security Discipline</w:t>
      </w:r>
      <w:r w:rsidRPr="00B84960">
        <w:rPr>
          <w:rFonts w:ascii="Times New Roman" w:eastAsia="Times New Roman" w:hAnsi="Times New Roman" w:cs="Times New Roman"/>
          <w:kern w:val="0"/>
          <w14:ligatures w14:val="none"/>
        </w:rPr>
        <w:br/>
        <w:t>Controlled access layers, permission boundaries, and traceability are already embedded in operations. These are prerequisites for defensible AI systems. Firms without this rigor face significant retrofitting costs before safe AI deployment is even possible.</w:t>
      </w:r>
    </w:p>
    <w:p w14:paraId="64AEA0C4"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b/>
          <w:bCs/>
          <w:kern w:val="0"/>
          <w14:ligatures w14:val="none"/>
        </w:rPr>
        <w:t>3. Audit Rigor and Decision Lineage</w:t>
      </w:r>
      <w:r w:rsidRPr="00B84960">
        <w:rPr>
          <w:rFonts w:ascii="Times New Roman" w:eastAsia="Times New Roman" w:hAnsi="Times New Roman" w:cs="Times New Roman"/>
          <w:kern w:val="0"/>
          <w14:ligatures w14:val="none"/>
        </w:rPr>
        <w:br/>
        <w:t>AI in accounting must produce positions that withstand review — by clients, regulators, partners, and courts. F&amp;C’s culture of documentation and review creates a foundation for AI outputs that are explainable, traceable, and defensible.</w:t>
      </w:r>
    </w:p>
    <w:p w14:paraId="1A5A724C"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b/>
          <w:bCs/>
          <w:kern w:val="0"/>
          <w14:ligatures w14:val="none"/>
        </w:rPr>
        <w:t>4. Functional Role Clarity</w:t>
      </w:r>
      <w:r w:rsidRPr="00B84960">
        <w:rPr>
          <w:rFonts w:ascii="Times New Roman" w:eastAsia="Times New Roman" w:hAnsi="Times New Roman" w:cs="Times New Roman"/>
          <w:kern w:val="0"/>
          <w14:ligatures w14:val="none"/>
        </w:rPr>
        <w:br/>
        <w:t>Clear responsibility assignments reduce ambiguity and create natural containment zones for incremental AI augmentation.</w:t>
      </w:r>
    </w:p>
    <w:p w14:paraId="1ADF8116"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lastRenderedPageBreak/>
        <w:pict w14:anchorId="3A276B8E">
          <v:rect id="_x0000_i1028" alt="" style="width:468pt;height:.05pt;mso-width-percent:0;mso-height-percent:0;mso-width-percent:0;mso-height-percent:0" o:hralign="center" o:hrstd="t" o:hr="t" fillcolor="#a0a0a0" stroked="f"/>
        </w:pict>
      </w:r>
    </w:p>
    <w:p w14:paraId="0B67FAAB" w14:textId="77777777" w:rsidR="00B84960" w:rsidRPr="00B84960" w:rsidRDefault="00B84960" w:rsidP="00B84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4960">
        <w:rPr>
          <w:rFonts w:ascii="Times New Roman" w:eastAsia="Times New Roman" w:hAnsi="Times New Roman" w:cs="Times New Roman"/>
          <w:b/>
          <w:bCs/>
          <w:kern w:val="0"/>
          <w:sz w:val="27"/>
          <w:szCs w:val="27"/>
          <w14:ligatures w14:val="none"/>
        </w:rPr>
        <w:t>The Core Thesis</w:t>
      </w:r>
    </w:p>
    <w:p w14:paraId="2F082526"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AI in regulated environments cannot function as a centralized “master system” that sees all data and optimizes globally. That model conflicts with separation-of-duties principles, confidentiality constraints, and risk governance.</w:t>
      </w:r>
    </w:p>
    <w:p w14:paraId="6685F107"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 xml:space="preserve">The viable path forward is a </w:t>
      </w:r>
      <w:r w:rsidRPr="00B84960">
        <w:rPr>
          <w:rFonts w:ascii="Times New Roman" w:eastAsia="Times New Roman" w:hAnsi="Times New Roman" w:cs="Times New Roman"/>
          <w:b/>
          <w:bCs/>
          <w:kern w:val="0"/>
          <w14:ligatures w14:val="none"/>
        </w:rPr>
        <w:t>hybrid, bounded-agent framework</w:t>
      </w:r>
      <w:r w:rsidRPr="00B84960">
        <w:rPr>
          <w:rFonts w:ascii="Times New Roman" w:eastAsia="Times New Roman" w:hAnsi="Times New Roman" w:cs="Times New Roman"/>
          <w:kern w:val="0"/>
          <w14:ligatures w14:val="none"/>
        </w:rPr>
        <w:t>:</w:t>
      </w:r>
    </w:p>
    <w:p w14:paraId="3B7C8BA9" w14:textId="77777777" w:rsidR="00B84960" w:rsidRPr="00B84960" w:rsidRDefault="00B84960" w:rsidP="00B849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Role-constrained AI aligned with existing functional responsibilities</w:t>
      </w:r>
    </w:p>
    <w:p w14:paraId="34069E5F" w14:textId="77777777" w:rsidR="00B84960" w:rsidRPr="00B84960" w:rsidRDefault="00B84960" w:rsidP="00B849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Incremental deployment within established security boundaries</w:t>
      </w:r>
    </w:p>
    <w:p w14:paraId="7CF68364" w14:textId="77777777" w:rsidR="00B84960" w:rsidRPr="00B84960" w:rsidRDefault="00B84960" w:rsidP="00B849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Outputs structured for defensibility, not just efficiency</w:t>
      </w:r>
    </w:p>
    <w:p w14:paraId="181B8E37" w14:textId="77777777" w:rsidR="00B84960" w:rsidRPr="00B84960" w:rsidRDefault="00B84960" w:rsidP="00B849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Governance-aware integration that preserves institutional trust</w:t>
      </w:r>
    </w:p>
    <w:p w14:paraId="742B8342"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This approach strengthens the firm’s credibility while enabling productivity gains.</w:t>
      </w:r>
    </w:p>
    <w:p w14:paraId="44576C6B"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pict w14:anchorId="0C36323C">
          <v:rect id="_x0000_i1027" alt="" style="width:468pt;height:.05pt;mso-width-percent:0;mso-height-percent:0;mso-width-percent:0;mso-height-percent:0" o:hralign="center" o:hrstd="t" o:hr="t" fillcolor="#a0a0a0" stroked="f"/>
        </w:pict>
      </w:r>
    </w:p>
    <w:p w14:paraId="68E71EDC" w14:textId="77777777" w:rsidR="00B84960" w:rsidRPr="00B84960" w:rsidRDefault="00B84960" w:rsidP="00B84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4960">
        <w:rPr>
          <w:rFonts w:ascii="Times New Roman" w:eastAsia="Times New Roman" w:hAnsi="Times New Roman" w:cs="Times New Roman"/>
          <w:b/>
          <w:bCs/>
          <w:kern w:val="0"/>
          <w:sz w:val="27"/>
          <w:szCs w:val="27"/>
          <w14:ligatures w14:val="none"/>
        </w:rPr>
        <w:t>Strategic and Commercial Opportunity</w:t>
      </w:r>
    </w:p>
    <w:p w14:paraId="0597BD89"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By learning to structure AI safely within its own governance model, F&amp;C does more than modernize internally.</w:t>
      </w:r>
    </w:p>
    <w:p w14:paraId="294EDB8E"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It builds a repeatable capability that can be extended to clients.</w:t>
      </w:r>
    </w:p>
    <w:p w14:paraId="5149A58F"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Many businesses will struggle with AI adoption because they lack disciplined data structures, role clarity, and audit rigor. F&amp;C’s existing operational maturity can become a differentiated advisory offering: AI implementation grounded in governance, compliance, and defensibility.</w:t>
      </w:r>
    </w:p>
    <w:p w14:paraId="11614A06"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pict w14:anchorId="1E0BC9D3">
          <v:rect id="_x0000_i1026" alt="" style="width:468pt;height:.05pt;mso-width-percent:0;mso-height-percent:0;mso-width-percent:0;mso-height-percent:0" o:hralign="center" o:hrstd="t" o:hr="t" fillcolor="#a0a0a0" stroked="f"/>
        </w:pict>
      </w:r>
    </w:p>
    <w:p w14:paraId="5C61914F" w14:textId="77777777" w:rsidR="00B84960" w:rsidRPr="00B84960" w:rsidRDefault="00B84960" w:rsidP="00B84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4960">
        <w:rPr>
          <w:rFonts w:ascii="Times New Roman" w:eastAsia="Times New Roman" w:hAnsi="Times New Roman" w:cs="Times New Roman"/>
          <w:b/>
          <w:bCs/>
          <w:kern w:val="0"/>
          <w:sz w:val="27"/>
          <w:szCs w:val="27"/>
          <w14:ligatures w14:val="none"/>
        </w:rPr>
        <w:t>Proposed Exploration</w:t>
      </w:r>
    </w:p>
    <w:p w14:paraId="26106854"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A structured initial engagement to:</w:t>
      </w:r>
    </w:p>
    <w:p w14:paraId="5E7F362E" w14:textId="77777777" w:rsidR="00B84960" w:rsidRPr="00B84960" w:rsidRDefault="00B84960" w:rsidP="00B849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Assess AI readiness within current data and governance structures</w:t>
      </w:r>
    </w:p>
    <w:p w14:paraId="514E707B" w14:textId="77777777" w:rsidR="00B84960" w:rsidRPr="00B84960" w:rsidRDefault="00B84960" w:rsidP="00B849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Identify low-risk, high-leverage pilot opportunities</w:t>
      </w:r>
    </w:p>
    <w:p w14:paraId="493DFC7E" w14:textId="77777777" w:rsidR="00B84960" w:rsidRPr="00B84960" w:rsidRDefault="00B84960" w:rsidP="00B849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Define a defensible, incremental implementation roadmap</w:t>
      </w:r>
    </w:p>
    <w:p w14:paraId="6A0C577F" w14:textId="77777777" w:rsidR="00B84960" w:rsidRPr="00B84960" w:rsidRDefault="00B84960" w:rsidP="00B849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Evaluate client-facing monetization pathways</w:t>
      </w:r>
    </w:p>
    <w:p w14:paraId="76858849"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t>This is not an automation exercise. It is an architectural initiative designed to align AI with fiduciary responsibility and long-term institutional trust.</w:t>
      </w:r>
    </w:p>
    <w:p w14:paraId="7BCA60F6" w14:textId="77777777" w:rsidR="00B84960" w:rsidRPr="00B84960" w:rsidRDefault="00590398" w:rsidP="00B84960">
      <w:pPr>
        <w:spacing w:after="0" w:line="240" w:lineRule="auto"/>
        <w:rPr>
          <w:rFonts w:ascii="Times New Roman" w:eastAsia="Times New Roman" w:hAnsi="Times New Roman" w:cs="Times New Roman"/>
          <w:kern w:val="0"/>
          <w14:ligatures w14:val="none"/>
        </w:rPr>
      </w:pPr>
      <w:r w:rsidRPr="00590398">
        <w:rPr>
          <w:rFonts w:ascii="Times New Roman" w:eastAsia="Times New Roman" w:hAnsi="Times New Roman" w:cs="Times New Roman"/>
          <w:noProof/>
          <w:kern w:val="0"/>
        </w:rPr>
        <w:pict w14:anchorId="1AFEB22D">
          <v:rect id="_x0000_i1025" alt="" style="width:468pt;height:.05pt;mso-width-percent:0;mso-height-percent:0;mso-width-percent:0;mso-height-percent:0" o:hralign="center" o:hrstd="t" o:hr="t" fillcolor="#a0a0a0" stroked="f"/>
        </w:pict>
      </w:r>
    </w:p>
    <w:p w14:paraId="1DF6B4BB" w14:textId="77777777" w:rsidR="00B84960" w:rsidRPr="00B84960" w:rsidRDefault="00B84960" w:rsidP="00B84960">
      <w:pPr>
        <w:spacing w:before="100" w:beforeAutospacing="1" w:after="100" w:afterAutospacing="1" w:line="240" w:lineRule="auto"/>
        <w:rPr>
          <w:rFonts w:ascii="Times New Roman" w:eastAsia="Times New Roman" w:hAnsi="Times New Roman" w:cs="Times New Roman"/>
          <w:kern w:val="0"/>
          <w14:ligatures w14:val="none"/>
        </w:rPr>
      </w:pPr>
      <w:r w:rsidRPr="00B84960">
        <w:rPr>
          <w:rFonts w:ascii="Times New Roman" w:eastAsia="Times New Roman" w:hAnsi="Times New Roman" w:cs="Times New Roman"/>
          <w:kern w:val="0"/>
          <w14:ligatures w14:val="none"/>
        </w:rPr>
        <w:lastRenderedPageBreak/>
        <w:t>Bob Simpson</w:t>
      </w:r>
      <w:r w:rsidRPr="00B84960">
        <w:rPr>
          <w:rFonts w:ascii="Times New Roman" w:eastAsia="Times New Roman" w:hAnsi="Times New Roman" w:cs="Times New Roman"/>
          <w:kern w:val="0"/>
          <w14:ligatures w14:val="none"/>
        </w:rPr>
        <w:br/>
        <w:t>[Contact Information]</w:t>
      </w:r>
    </w:p>
    <w:p w14:paraId="41085935"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1C3"/>
    <w:multiLevelType w:val="multilevel"/>
    <w:tmpl w:val="BC8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94085"/>
    <w:multiLevelType w:val="multilevel"/>
    <w:tmpl w:val="BE5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88597">
    <w:abstractNumId w:val="1"/>
  </w:num>
  <w:num w:numId="2" w16cid:durableId="71231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60"/>
    <w:rsid w:val="004F7A06"/>
    <w:rsid w:val="00590398"/>
    <w:rsid w:val="00927527"/>
    <w:rsid w:val="00B84960"/>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2540"/>
  <w15:chartTrackingRefBased/>
  <w15:docId w15:val="{1432EEA8-419B-9346-B263-48287F39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960"/>
    <w:rPr>
      <w:rFonts w:eastAsiaTheme="majorEastAsia" w:cstheme="majorBidi"/>
      <w:color w:val="272727" w:themeColor="text1" w:themeTint="D8"/>
    </w:rPr>
  </w:style>
  <w:style w:type="paragraph" w:styleId="Title">
    <w:name w:val="Title"/>
    <w:basedOn w:val="Normal"/>
    <w:next w:val="Normal"/>
    <w:link w:val="TitleChar"/>
    <w:uiPriority w:val="10"/>
    <w:qFormat/>
    <w:rsid w:val="00B84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960"/>
    <w:pPr>
      <w:spacing w:before="160"/>
      <w:jc w:val="center"/>
    </w:pPr>
    <w:rPr>
      <w:i/>
      <w:iCs/>
      <w:color w:val="404040" w:themeColor="text1" w:themeTint="BF"/>
    </w:rPr>
  </w:style>
  <w:style w:type="character" w:customStyle="1" w:styleId="QuoteChar">
    <w:name w:val="Quote Char"/>
    <w:basedOn w:val="DefaultParagraphFont"/>
    <w:link w:val="Quote"/>
    <w:uiPriority w:val="29"/>
    <w:rsid w:val="00B84960"/>
    <w:rPr>
      <w:i/>
      <w:iCs/>
      <w:color w:val="404040" w:themeColor="text1" w:themeTint="BF"/>
    </w:rPr>
  </w:style>
  <w:style w:type="paragraph" w:styleId="ListParagraph">
    <w:name w:val="List Paragraph"/>
    <w:basedOn w:val="Normal"/>
    <w:uiPriority w:val="34"/>
    <w:qFormat/>
    <w:rsid w:val="00B84960"/>
    <w:pPr>
      <w:ind w:left="720"/>
      <w:contextualSpacing/>
    </w:pPr>
  </w:style>
  <w:style w:type="character" w:styleId="IntenseEmphasis">
    <w:name w:val="Intense Emphasis"/>
    <w:basedOn w:val="DefaultParagraphFont"/>
    <w:uiPriority w:val="21"/>
    <w:qFormat/>
    <w:rsid w:val="00B84960"/>
    <w:rPr>
      <w:i/>
      <w:iCs/>
      <w:color w:val="0F4761" w:themeColor="accent1" w:themeShade="BF"/>
    </w:rPr>
  </w:style>
  <w:style w:type="paragraph" w:styleId="IntenseQuote">
    <w:name w:val="Intense Quote"/>
    <w:basedOn w:val="Normal"/>
    <w:next w:val="Normal"/>
    <w:link w:val="IntenseQuoteChar"/>
    <w:uiPriority w:val="30"/>
    <w:qFormat/>
    <w:rsid w:val="00B84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960"/>
    <w:rPr>
      <w:i/>
      <w:iCs/>
      <w:color w:val="0F4761" w:themeColor="accent1" w:themeShade="BF"/>
    </w:rPr>
  </w:style>
  <w:style w:type="character" w:styleId="IntenseReference">
    <w:name w:val="Intense Reference"/>
    <w:basedOn w:val="DefaultParagraphFont"/>
    <w:uiPriority w:val="32"/>
    <w:qFormat/>
    <w:rsid w:val="00B84960"/>
    <w:rPr>
      <w:b/>
      <w:bCs/>
      <w:smallCaps/>
      <w:color w:val="0F4761" w:themeColor="accent1" w:themeShade="BF"/>
      <w:spacing w:val="5"/>
    </w:rPr>
  </w:style>
  <w:style w:type="paragraph" w:styleId="NormalWeb">
    <w:name w:val="Normal (Web)"/>
    <w:basedOn w:val="Normal"/>
    <w:uiPriority w:val="99"/>
    <w:semiHidden/>
    <w:unhideWhenUsed/>
    <w:rsid w:val="00B849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4960"/>
    <w:rPr>
      <w:b/>
      <w:bCs/>
    </w:rPr>
  </w:style>
  <w:style w:type="character" w:styleId="Emphasis">
    <w:name w:val="Emphasis"/>
    <w:basedOn w:val="DefaultParagraphFont"/>
    <w:uiPriority w:val="20"/>
    <w:qFormat/>
    <w:rsid w:val="00B849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470</Words>
  <Characters>3131</Characters>
  <Application>Microsoft Office Word</Application>
  <DocSecurity>0</DocSecurity>
  <Lines>65</Lines>
  <Paragraphs>36</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2026-02-18T20:19:00Z</dcterms:created>
  <dcterms:modified xsi:type="dcterms:W3CDTF">2026-02-18T20:20:00Z</dcterms:modified>
</cp:coreProperties>
</file>