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729d68c7a9bf83eb756ce839a61cf5b40cb72d"/>
    <w:p>
      <w:pPr>
        <w:pStyle w:val="Heading1"/>
      </w:pPr>
      <w:r>
        <w:rPr>
          <w:b/>
          <w:bCs/>
        </w:rPr>
        <w:t xml:space="preserve">Cultural Infrastructure for Ephemeral Trust</w:t>
      </w:r>
    </w:p>
    <w:p>
      <w:pPr>
        <w:pStyle w:val="FirstParagraph"/>
      </w:pPr>
      <w:r>
        <w:rPr>
          <w:i/>
          <w:iCs/>
        </w:rPr>
        <w:t xml:space="preserve">Series: The Ephemeral Trust Papers – Document 4</w:t>
      </w:r>
    </w:p>
    <w:p>
      <w:r>
        <w:pict>
          <v:rect style="width:0;height:1.5pt" o:hralign="center" o:hrstd="t" o:hr="t"/>
        </w:pict>
      </w:r>
    </w:p>
    <w:bookmarkStart w:id="20" w:name="definition"/>
    <w:p>
      <w:pPr>
        <w:pStyle w:val="Heading2"/>
      </w:pPr>
      <w:r>
        <w:rPr>
          <w:b/>
          <w:bCs/>
        </w:rPr>
        <w:t xml:space="preserve">1. Definition</w:t>
      </w:r>
    </w:p>
    <w:p>
      <w:pPr>
        <w:pStyle w:val="FirstParagraph"/>
      </w:pPr>
      <w:r>
        <w:rPr>
          <w:b/>
          <w:bCs/>
        </w:rPr>
        <w:t xml:space="preserve">Cultural infrastructure</w:t>
      </w:r>
      <w:r>
        <w:t xml:space="preserve"> </w:t>
      </w:r>
      <w:r>
        <w:t xml:space="preserve">refers to the social norms, symbolic systems, and shared practices that allow ephemeral trust to form, flourish, and dissolve naturally without collapsing into rigidity or exploitation.</w:t>
      </w:r>
    </w:p>
    <w:p>
      <w:r>
        <w:pict>
          <v:rect style="width:0;height:1.5pt" o:hralign="center" o:hrstd="t" o:hr="t"/>
        </w:pict>
      </w:r>
    </w:p>
    <w:bookmarkEnd w:id="20"/>
    <w:bookmarkStart w:id="21" w:name="foundational-principles"/>
    <w:p>
      <w:pPr>
        <w:pStyle w:val="Heading2"/>
      </w:pPr>
      <w:r>
        <w:rPr>
          <w:b/>
          <w:bCs/>
        </w:rPr>
        <w:t xml:space="preserve">2. Foundational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 First</w:t>
      </w:r>
      <w:r>
        <w:t xml:space="preserve"> </w:t>
      </w:r>
      <w:r>
        <w:t xml:space="preserve">– All participation is voluntary and mutually agreed upon.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Clarity</w:t>
      </w:r>
      <w:r>
        <w:t xml:space="preserve"> </w:t>
      </w:r>
      <w:r>
        <w:t xml:space="preserve">– Everyone knows the purpose and scope of the interaction.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Exit Without Penalty</w:t>
      </w:r>
      <w:r>
        <w:t xml:space="preserve"> </w:t>
      </w:r>
      <w:r>
        <w:t xml:space="preserve">– Leaving is normalized and stigma-free.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 Without Surveillance</w:t>
      </w:r>
      <w:r>
        <w:t xml:space="preserve"> </w:t>
      </w:r>
      <w:r>
        <w:t xml:space="preserve">– Proof is embodied in interaction, not recorded data.</w:t>
      </w:r>
    </w:p>
    <w:p>
      <w:r>
        <w:pict>
          <v:rect style="width:0;height:1.5pt" o:hralign="center" o:hrstd="t" o:hr="t"/>
        </w:pict>
      </w:r>
    </w:p>
    <w:bookmarkEnd w:id="21"/>
    <w:bookmarkStart w:id="22" w:name="memetic-tools-for-trust-culture"/>
    <w:p>
      <w:pPr>
        <w:pStyle w:val="Heading2"/>
      </w:pPr>
      <w:r>
        <w:rPr>
          <w:b/>
          <w:bCs/>
        </w:rPr>
        <w:t xml:space="preserve">3. Memetic Tools for Trust Culture</w:t>
      </w:r>
    </w:p>
    <w:p>
      <w:pPr>
        <w:pStyle w:val="FirstParagraph"/>
      </w:pPr>
      <w:r>
        <w:rPr>
          <w:b/>
          <w:bCs/>
        </w:rPr>
        <w:t xml:space="preserve">a. Glyphs</w:t>
      </w:r>
      <w:r>
        <w:t xml:space="preserve"> </w:t>
      </w:r>
      <w:r>
        <w:t xml:space="preserve">– Symbols that instantly communicate shared values and readiness to engage.</w:t>
      </w:r>
      <w:r>
        <w:br/>
      </w:r>
      <w:r>
        <w:rPr>
          <w:b/>
          <w:bCs/>
        </w:rPr>
        <w:t xml:space="preserve">b. Resonance Beacons</w:t>
      </w:r>
      <w:r>
        <w:t xml:space="preserve"> </w:t>
      </w:r>
      <w:r>
        <w:t xml:space="preserve">– Rituals, spaces, or moments that re-align the network without monitoring.</w:t>
      </w:r>
      <w:r>
        <w:br/>
      </w:r>
      <w:r>
        <w:rPr>
          <w:b/>
          <w:bCs/>
        </w:rPr>
        <w:t xml:space="preserve">c. Shimmer</w:t>
      </w:r>
      <w:r>
        <w:t xml:space="preserve"> </w:t>
      </w:r>
      <w:r>
        <w:t xml:space="preserve">– Aesthetic and sensory cues that make trust interactions feel attractive, meaningful, and worth repeating.</w:t>
      </w:r>
    </w:p>
    <w:p>
      <w:r>
        <w:pict>
          <v:rect style="width:0;height:1.5pt" o:hralign="center" o:hrstd="t" o:hr="t"/>
        </w:pict>
      </w:r>
    </w:p>
    <w:bookmarkEnd w:id="22"/>
    <w:bookmarkStart w:id="23" w:name="X2a5c8fc9e59ca2e46c3e92b97a1dbfaf8b4ac62"/>
    <w:p>
      <w:pPr>
        <w:pStyle w:val="Heading2"/>
      </w:pPr>
      <w:r>
        <w:rPr>
          <w:b/>
          <w:bCs/>
        </w:rPr>
        <w:t xml:space="preserve">4. Social Norms That Support Ephemeral Trust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Reciprocal Recognition</w:t>
      </w:r>
      <w:r>
        <w:t xml:space="preserve"> </w:t>
      </w:r>
      <w:r>
        <w:t xml:space="preserve">– Acknowledge others’ consent and contributions in real time.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Reputation</w:t>
      </w:r>
      <w:r>
        <w:t xml:space="preserve"> </w:t>
      </w:r>
      <w:r>
        <w:t xml:space="preserve">– Reputation is contextual and earned anew in each setting.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Low-Barrier Onboarding</w:t>
      </w:r>
      <w:r>
        <w:t xml:space="preserve"> </w:t>
      </w:r>
      <w:r>
        <w:t xml:space="preserve">– Anyone can participate with minimal gatekeeping.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Distributed Hosting</w:t>
      </w:r>
      <w:r>
        <w:t xml:space="preserve"> </w:t>
      </w:r>
      <w:r>
        <w:t xml:space="preserve">– No central authority defines the trust culture; multiple hosts shape it.</w:t>
      </w:r>
    </w:p>
    <w:p>
      <w:r>
        <w:pict>
          <v:rect style="width:0;height:1.5pt" o:hralign="center" o:hrstd="t" o:hr="t"/>
        </w:pict>
      </w:r>
    </w:p>
    <w:bookmarkEnd w:id="23"/>
    <w:bookmarkStart w:id="24" w:name="avoiding-institutional-capture"/>
    <w:p>
      <w:pPr>
        <w:pStyle w:val="Heading2"/>
      </w:pPr>
      <w:r>
        <w:rPr>
          <w:b/>
          <w:bCs/>
        </w:rPr>
        <w:t xml:space="preserve">5. Avoiding Institutional Capture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 Limits on Anchors</w:t>
      </w:r>
      <w:r>
        <w:t xml:space="preserve"> </w:t>
      </w:r>
      <w:r>
        <w:t xml:space="preserve">– Even portable anchors dissolve if inactive.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Rotation of Roles</w:t>
      </w:r>
      <w:r>
        <w:t xml:space="preserve"> </w:t>
      </w:r>
      <w:r>
        <w:t xml:space="preserve">– Prevents accumulation of power and dependence.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Cultural Firebreaks</w:t>
      </w:r>
      <w:r>
        <w:t xml:space="preserve"> </w:t>
      </w:r>
      <w:r>
        <w:t xml:space="preserve">– Clear boundaries against behaviors that mimic trust but are exploitative.</w:t>
      </w:r>
    </w:p>
    <w:p>
      <w:r>
        <w:pict>
          <v:rect style="width:0;height:1.5pt" o:hralign="center" o:hrstd="t" o:hr="t"/>
        </w:pict>
      </w:r>
    </w:p>
    <w:bookmarkEnd w:id="24"/>
    <w:bookmarkStart w:id="25" w:name="examples-in-practice"/>
    <w:p>
      <w:pPr>
        <w:pStyle w:val="Heading2"/>
      </w:pPr>
      <w:r>
        <w:rPr>
          <w:b/>
          <w:bCs/>
        </w:rPr>
        <w:t xml:space="preserve">6. Examples in Practice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Festivals</w:t>
      </w:r>
      <w:r>
        <w:t xml:space="preserve">: Temporary gatherings where trust forms through shared context, dissolves without consequence, and reforms the next year.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Maker Spaces</w:t>
      </w:r>
      <w:r>
        <w:t xml:space="preserve">: Open workshops with community guidelines, rotating leadership, and opt-in projects.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Peer-to-Peer Platforms</w:t>
      </w:r>
      <w:r>
        <w:t xml:space="preserve">: Systems designed for interaction without long-term central control.</w:t>
      </w:r>
    </w:p>
    <w:p>
      <w:r>
        <w:pict>
          <v:rect style="width:0;height:1.5pt" o:hralign="center" o:hrstd="t" o:hr="t"/>
        </w:pict>
      </w:r>
    </w:p>
    <w:bookmarkEnd w:id="25"/>
    <w:bookmarkStart w:id="26" w:name="why-this-matters"/>
    <w:p>
      <w:pPr>
        <w:pStyle w:val="Heading2"/>
      </w:pPr>
      <w:r>
        <w:rPr>
          <w:b/>
          <w:bCs/>
        </w:rPr>
        <w:t xml:space="preserve">7. Why This Matters</w:t>
      </w:r>
    </w:p>
    <w:p>
      <w:pPr>
        <w:pStyle w:val="FirstParagraph"/>
      </w:pPr>
      <w:r>
        <w:t xml:space="preserve">Without intentional cultural infrastructure, ephemeral trust risks either: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Evaporating too quickly</w:t>
      </w:r>
      <w:r>
        <w:t xml:space="preserve"> </w:t>
      </w:r>
      <w:r>
        <w:t xml:space="preserve">– No environment to sustain it long enough to matter.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Calcifying into monolithic trust</w:t>
      </w:r>
      <w:r>
        <w:t xml:space="preserve"> </w:t>
      </w:r>
      <w:r>
        <w:t xml:space="preserve">– Losing flexibility and becoming exploitable.</w:t>
      </w:r>
    </w:p>
    <w:p>
      <w:pPr>
        <w:pStyle w:val="BodyText"/>
      </w:pPr>
      <w:r>
        <w:t xml:space="preserve">Properly designed culture ensures ephemeral trust remains dynamic, voluntary, and fertile ground for adaptive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in the series:</w:t>
      </w:r>
      <w:r>
        <w:t xml:space="preserve"> </w:t>
      </w:r>
      <w:r>
        <w:rPr>
          <w:i/>
          <w:iCs/>
        </w:rPr>
        <w:t xml:space="preserve">Ephemeral Trust in Economic and Political Models</w:t>
      </w:r>
      <w:r>
        <w:t xml:space="preserve"> </w:t>
      </w:r>
      <w:r>
        <w:t xml:space="preserve">— embedding trust dynamics into governance and markets without centralization.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2025-08-05T00:31:05Z</dcterms:created>
  <dcterms:modified xsi:type="dcterms:W3CDTF">2025-08-05T00:31:05Z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