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5c276b07b039a840d86839d1fbc1defda52d4e"/>
    <w:p>
      <w:pPr>
        <w:pStyle w:val="Heading1"/>
      </w:pPr>
      <w:r>
        <w:rPr>
          <w:b/>
          <w:bCs/>
        </w:rPr>
        <w:t xml:space="preserve">Ephemeral Trust in Economic and Political Models</w:t>
      </w:r>
    </w:p>
    <w:p>
      <w:pPr>
        <w:pStyle w:val="FirstParagraph"/>
      </w:pPr>
      <w:r>
        <w:rPr>
          <w:i/>
          <w:iCs/>
        </w:rPr>
        <w:t xml:space="preserve">Series: The Ephemeral Trust Papers – Document 5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rPr>
          <w:b/>
          <w:bCs/>
        </w:rPr>
        <w:t xml:space="preserve">1. Overview</w:t>
      </w:r>
    </w:p>
    <w:p>
      <w:pPr>
        <w:pStyle w:val="FirstParagraph"/>
      </w:pPr>
      <w:r>
        <w:t xml:space="preserve">Ephemeral trust can be embedded directly into economic and political systems to create structures that are adaptive, consent-based, and resistant to long-term exploitation. This involves designing governance and markets that prioritize</w:t>
      </w:r>
      <w:r>
        <w:t xml:space="preserve"> </w:t>
      </w:r>
      <w:r>
        <w:rPr>
          <w:b/>
          <w:bCs/>
        </w:rPr>
        <w:t xml:space="preserve">mutual, situational trust</w:t>
      </w:r>
      <w:r>
        <w:t xml:space="preserve"> </w:t>
      </w:r>
      <w:r>
        <w:t xml:space="preserve">over permanent allegiance or rigid hierarchies.</w:t>
      </w:r>
    </w:p>
    <w:p>
      <w:r>
        <w:pict>
          <v:rect style="width:0;height:1.5pt" o:hralign="center" o:hrstd="t" o:hr="t"/>
        </w:pict>
      </w:r>
    </w:p>
    <w:bookmarkEnd w:id="20"/>
    <w:bookmarkStart w:id="21" w:name="economic-integration"/>
    <w:p>
      <w:pPr>
        <w:pStyle w:val="Heading2"/>
      </w:pPr>
      <w:r>
        <w:rPr>
          <w:b/>
          <w:bCs/>
        </w:rPr>
        <w:t xml:space="preserve">2. Economic Integration</w:t>
      </w:r>
    </w:p>
    <w:p>
      <w:pPr>
        <w:pStyle w:val="FirstParagraph"/>
      </w:pPr>
      <w:r>
        <w:rPr>
          <w:b/>
          <w:bCs/>
        </w:rPr>
        <w:t xml:space="preserve">a. Trust Liquidity</w:t>
      </w:r>
      <w:r>
        <w:t xml:space="preserve"> </w:t>
      </w:r>
      <w:r>
        <w:t xml:space="preserve">– Treat trust as a fluid asset that moves easily between participants, projects, and contexts.</w:t>
      </w:r>
      <w:r>
        <w:br/>
      </w:r>
      <w:r>
        <w:t xml:space="preserve">- Encourages innovation and experimentation.</w:t>
      </w:r>
      <w:r>
        <w:br/>
      </w:r>
      <w:r>
        <w:t xml:space="preserve">- Reduces monopoly control over trust networks.</w:t>
      </w:r>
    </w:p>
    <w:p>
      <w:pPr>
        <w:pStyle w:val="BodyText"/>
      </w:pPr>
      <w:r>
        <w:rPr>
          <w:b/>
          <w:bCs/>
        </w:rPr>
        <w:t xml:space="preserve">b. Contextual Markets</w:t>
      </w:r>
      <w:r>
        <w:t xml:space="preserve"> </w:t>
      </w:r>
      <w:r>
        <w:t xml:space="preserve">– Economic exchanges occur in bounded contexts where trust is explicit and temporary.</w:t>
      </w:r>
      <w:r>
        <w:br/>
      </w:r>
      <w:r>
        <w:t xml:space="preserve">- Example: time-bounded cooperative marketplaces for disaster relief or seasonal production.</w:t>
      </w:r>
    </w:p>
    <w:p>
      <w:pPr>
        <w:pStyle w:val="BodyText"/>
      </w:pPr>
      <w:r>
        <w:rPr>
          <w:b/>
          <w:bCs/>
        </w:rPr>
        <w:t xml:space="preserve">c. Anti-Monopoly Effects</w:t>
      </w:r>
      <w:r>
        <w:t xml:space="preserve"> </w:t>
      </w:r>
      <w:r>
        <w:t xml:space="preserve">– Because trust is portable and revocable, no entity can indefinitely capture and exploit it.</w:t>
      </w:r>
    </w:p>
    <w:p>
      <w:r>
        <w:pict>
          <v:rect style="width:0;height:1.5pt" o:hralign="center" o:hrstd="t" o:hr="t"/>
        </w:pict>
      </w:r>
    </w:p>
    <w:bookmarkEnd w:id="21"/>
    <w:bookmarkStart w:id="22" w:name="political-integration"/>
    <w:p>
      <w:pPr>
        <w:pStyle w:val="Heading2"/>
      </w:pPr>
      <w:r>
        <w:rPr>
          <w:b/>
          <w:bCs/>
        </w:rPr>
        <w:t xml:space="preserve">3. Political Integration</w:t>
      </w:r>
    </w:p>
    <w:p>
      <w:pPr>
        <w:pStyle w:val="FirstParagraph"/>
      </w:pPr>
      <w:r>
        <w:rPr>
          <w:b/>
          <w:bCs/>
        </w:rPr>
        <w:t xml:space="preserve">a. Consent-Driven Governance</w:t>
      </w:r>
      <w:r>
        <w:t xml:space="preserve"> </w:t>
      </w:r>
      <w:r>
        <w:t xml:space="preserve">– Political authority is valid only while mutual consent is active; authority dissolves when trust is withdrawn.</w:t>
      </w:r>
      <w:r>
        <w:br/>
      </w:r>
      <w:r>
        <w:rPr>
          <w:b/>
          <w:bCs/>
        </w:rPr>
        <w:t xml:space="preserve">b. Temporary Mandates</w:t>
      </w:r>
      <w:r>
        <w:t xml:space="preserve"> </w:t>
      </w:r>
      <w:r>
        <w:t xml:space="preserve">– Leaders and decision-makers hold time-limited roles, renewed only through fresh ephemeral trust checks.</w:t>
      </w:r>
      <w:r>
        <w:br/>
      </w:r>
      <w:r>
        <w:rPr>
          <w:b/>
          <w:bCs/>
        </w:rPr>
        <w:t xml:space="preserve">c. Distributed Decision Nodes</w:t>
      </w:r>
      <w:r>
        <w:t xml:space="preserve"> </w:t>
      </w:r>
      <w:r>
        <w:t xml:space="preserve">– Policy decisions made in multiple, parallel trust hubs reduce centralization.</w:t>
      </w:r>
    </w:p>
    <w:p>
      <w:r>
        <w:pict>
          <v:rect style="width:0;height:1.5pt" o:hralign="center" o:hrstd="t" o:hr="t"/>
        </w:pict>
      </w:r>
    </w:p>
    <w:bookmarkEnd w:id="22"/>
    <w:bookmarkStart w:id="23" w:name="design-principles"/>
    <w:p>
      <w:pPr>
        <w:pStyle w:val="Heading2"/>
      </w:pPr>
      <w:r>
        <w:rPr>
          <w:b/>
          <w:bCs/>
        </w:rPr>
        <w:t xml:space="preserve">4.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Voluntary Entry &amp; Exit</w:t>
      </w:r>
      <w:r>
        <w:t xml:space="preserve"> </w:t>
      </w:r>
      <w:r>
        <w:t xml:space="preserve">– Participation in economic or political units is always opt-in and opt-out without penalty.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Portable Anchors</w:t>
      </w:r>
      <w:r>
        <w:t xml:space="preserve"> </w:t>
      </w:r>
      <w:r>
        <w:t xml:space="preserve">– Temporary governance or market hubs that can re-form in new contexts.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Transparency Without Surveillance</w:t>
      </w:r>
      <w:r>
        <w:t xml:space="preserve"> </w:t>
      </w:r>
      <w:r>
        <w:t xml:space="preserve">– Decisions and transactions are open to scrutiny, but identity and participation records aren’t permanently stored.</w:t>
      </w:r>
    </w:p>
    <w:p>
      <w:r>
        <w:pict>
          <v:rect style="width:0;height:1.5pt" o:hralign="center" o:hrstd="t" o:hr="t"/>
        </w:pict>
      </w:r>
    </w:p>
    <w:bookmarkEnd w:id="23"/>
    <w:bookmarkStart w:id="24" w:name="benefits"/>
    <w:p>
      <w:pPr>
        <w:pStyle w:val="Heading2"/>
      </w:pPr>
      <w:r>
        <w:rPr>
          <w:b/>
          <w:bCs/>
        </w:rPr>
        <w:t xml:space="preserve">5. Benefits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Resilience</w:t>
      </w:r>
      <w:r>
        <w:t xml:space="preserve"> </w:t>
      </w:r>
      <w:r>
        <w:t xml:space="preserve">– Systems adapt quickly to shocks by re-aligning trust patterns.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Equity</w:t>
      </w:r>
      <w:r>
        <w:t xml:space="preserve"> </w:t>
      </w:r>
      <w:r>
        <w:t xml:space="preserve">– Power and wealth cannot concentrate without ongoing mutual consent.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Innovation</w:t>
      </w:r>
      <w:r>
        <w:t xml:space="preserve"> </w:t>
      </w:r>
      <w:r>
        <w:t xml:space="preserve">– Low-risk experimentation in both policy and markets.</w:t>
      </w:r>
    </w:p>
    <w:p>
      <w:r>
        <w:pict>
          <v:rect style="width:0;height:1.5pt" o:hralign="center" o:hrstd="t" o:hr="t"/>
        </w:pict>
      </w:r>
    </w:p>
    <w:bookmarkEnd w:id="24"/>
    <w:bookmarkStart w:id="25" w:name="challenges"/>
    <w:p>
      <w:pPr>
        <w:pStyle w:val="Heading2"/>
      </w:pPr>
      <w:r>
        <w:rPr>
          <w:b/>
          <w:bCs/>
        </w:rPr>
        <w:t xml:space="preserve">6. Challenges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Transition Costs</w:t>
      </w:r>
      <w:r>
        <w:t xml:space="preserve"> </w:t>
      </w:r>
      <w:r>
        <w:t xml:space="preserve">– Moving from monolithic trust systems requires cultural adaptation.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Coordination Limits</w:t>
      </w:r>
      <w:r>
        <w:t xml:space="preserve"> </w:t>
      </w:r>
      <w:r>
        <w:t xml:space="preserve">– Large-scale action may need hybrid models with both ephemeral and stable anchors.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Trust Saturation</w:t>
      </w:r>
      <w:r>
        <w:t xml:space="preserve"> </w:t>
      </w:r>
      <w:r>
        <w:t xml:space="preserve">– Too many simultaneous ephemeral trust calls can overload participants.</w:t>
      </w:r>
    </w:p>
    <w:p>
      <w:r>
        <w:pict>
          <v:rect style="width:0;height:1.5pt" o:hralign="center" o:hrstd="t" o:hr="t"/>
        </w:pict>
      </w:r>
    </w:p>
    <w:bookmarkEnd w:id="25"/>
    <w:bookmarkStart w:id="26" w:name="example-scenarios"/>
    <w:p>
      <w:pPr>
        <w:pStyle w:val="Heading2"/>
      </w:pPr>
      <w:r>
        <w:rPr>
          <w:b/>
          <w:bCs/>
        </w:rPr>
        <w:t xml:space="preserve">7. Example Scenarios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Pop-Up Parliaments</w:t>
      </w:r>
      <w:r>
        <w:t xml:space="preserve">: Short-term citizen assemblies to decide on specific issues, dissolving after resolution.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Seasonal Economies</w:t>
      </w:r>
      <w:r>
        <w:t xml:space="preserve">: Cooperative trade systems tied to agricultural or cultural cycles.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Peer Governance Protocols</w:t>
      </w:r>
      <w:r>
        <w:t xml:space="preserve">: Distributed digital governance without permanent rulers.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in the series:</w:t>
      </w:r>
      <w:r>
        <w:t xml:space="preserve"> </w:t>
      </w:r>
      <w:r>
        <w:rPr>
          <w:i/>
          <w:iCs/>
        </w:rPr>
        <w:t xml:space="preserve">The Cosmology of Trust</w:t>
      </w:r>
      <w:r>
        <w:t xml:space="preserve"> </w:t>
      </w:r>
      <w:r>
        <w:t xml:space="preserve">— exploring resonance as the unifying principle from physics to culture, and mapping a semantic model of Everything.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2025-08-05T00:31:41Z</dcterms:created>
  <dcterms:modified xsi:type="dcterms:W3CDTF">2025-08-05T00:31:41Z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