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he-cosmology-of-trust"/>
    <w:p>
      <w:pPr>
        <w:pStyle w:val="Heading1"/>
      </w:pPr>
      <w:r>
        <w:rPr>
          <w:b/>
          <w:bCs/>
        </w:rPr>
        <w:t xml:space="preserve">The Cosmology of Trust</w:t>
      </w:r>
    </w:p>
    <w:p>
      <w:pPr>
        <w:pStyle w:val="FirstParagraph"/>
      </w:pPr>
      <w:r>
        <w:rPr>
          <w:i/>
          <w:iCs/>
        </w:rPr>
        <w:t xml:space="preserve">Series: The Ephemeral Trust Papers – Document 6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rPr>
          <w:b/>
          <w:bCs/>
        </w:rPr>
        <w:t xml:space="preserve">1. Overview</w:t>
      </w:r>
    </w:p>
    <w:p>
      <w:pPr>
        <w:pStyle w:val="FirstParagraph"/>
      </w:pPr>
      <w:r>
        <w:t xml:space="preserve">Trust is not merely a social construct — it is an emergent property of</w:t>
      </w:r>
      <w:r>
        <w:t xml:space="preserve"> </w:t>
      </w:r>
      <w:r>
        <w:rPr>
          <w:b/>
          <w:bCs/>
        </w:rPr>
        <w:t xml:space="preserve">resonance</w:t>
      </w:r>
      <w:r>
        <w:t xml:space="preserve">, the alignment of entities across scales. From the subatomic to the societal, trust manifests wherever systems engage in sustained, mutual interaction without coercion.</w:t>
      </w:r>
    </w:p>
    <w:p>
      <w:r>
        <w:pict>
          <v:rect style="width:0;height:1.5pt" o:hralign="center" o:hrstd="t" o:hr="t"/>
        </w:pict>
      </w:r>
    </w:p>
    <w:bookmarkEnd w:id="20"/>
    <w:bookmarkStart w:id="21" w:name="resonance-as-the-root"/>
    <w:p>
      <w:pPr>
        <w:pStyle w:val="Heading2"/>
      </w:pPr>
      <w:r>
        <w:rPr>
          <w:b/>
          <w:bCs/>
        </w:rPr>
        <w:t xml:space="preserve">2. Resonance as the Root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Physics</w:t>
      </w:r>
      <w:r>
        <w:t xml:space="preserve">: Electron-proton pairing creates stable atoms; resonance locks them together under shared physical rules.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Biology</w:t>
      </w:r>
      <w:r>
        <w:t xml:space="preserve">: Symbiotic relationships form when organisms align their survival strategies.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Sociology</w:t>
      </w:r>
      <w:r>
        <w:t xml:space="preserve">: Communities thrive when members attune to shared values and mutual benefit.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Culture</w:t>
      </w:r>
      <w:r>
        <w:t xml:space="preserve">: Art, language, and ritual amplify shared meaning — a form of memetic resonance.</w:t>
      </w:r>
    </w:p>
    <w:p>
      <w:pPr>
        <w:pStyle w:val="FirstParagraph"/>
      </w:pPr>
      <w:r>
        <w:t xml:space="preserve">In every case, trust emerges when alignment reduces uncertainty about the other’s actions.</w:t>
      </w:r>
    </w:p>
    <w:p>
      <w:r>
        <w:pict>
          <v:rect style="width:0;height:1.5pt" o:hralign="center" o:hrstd="t" o:hr="t"/>
        </w:pict>
      </w:r>
    </w:p>
    <w:bookmarkEnd w:id="21"/>
    <w:bookmarkStart w:id="22" w:name="X98fcfe62fa6ec8915859e503a293f6534d603d8"/>
    <w:p>
      <w:pPr>
        <w:pStyle w:val="Heading2"/>
      </w:pPr>
      <w:r>
        <w:rPr>
          <w:b/>
          <w:bCs/>
        </w:rPr>
        <w:t xml:space="preserve">3. The Role of Ephemeral Trust in the Cosmic Model</w:t>
      </w:r>
    </w:p>
    <w:p>
      <w:pPr>
        <w:pStyle w:val="FirstParagraph"/>
      </w:pPr>
      <w:r>
        <w:t xml:space="preserve">Ephemeral trust is the</w:t>
      </w:r>
      <w:r>
        <w:t xml:space="preserve"> </w:t>
      </w:r>
      <w:r>
        <w:rPr>
          <w:b/>
          <w:bCs/>
        </w:rPr>
        <w:t xml:space="preserve">momentary spark of resonance</w:t>
      </w:r>
      <w:r>
        <w:t xml:space="preserve"> </w:t>
      </w:r>
      <w:r>
        <w:t xml:space="preserve">that allows systems to link without pre-existing bonds. It acts 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Catalyst</w:t>
      </w:r>
      <w:r>
        <w:t xml:space="preserve"> </w:t>
      </w:r>
      <w:r>
        <w:t xml:space="preserve">– Initiates interaction between previously unlinked entities.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Probe</w:t>
      </w:r>
      <w:r>
        <w:t xml:space="preserve"> </w:t>
      </w:r>
      <w:r>
        <w:t xml:space="preserve">– Tests alignment before deeper commitments form.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Connector</w:t>
      </w:r>
      <w:r>
        <w:t xml:space="preserve"> </w:t>
      </w:r>
      <w:r>
        <w:t xml:space="preserve">– Creates temporary bridges across otherwise separate systems.</w:t>
      </w:r>
    </w:p>
    <w:p>
      <w:r>
        <w:pict>
          <v:rect style="width:0;height:1.5pt" o:hralign="center" o:hrstd="t" o:hr="t"/>
        </w:pict>
      </w:r>
    </w:p>
    <w:bookmarkEnd w:id="22"/>
    <w:bookmarkStart w:id="23" w:name="the-trust-continuum"/>
    <w:p>
      <w:pPr>
        <w:pStyle w:val="Heading2"/>
      </w:pPr>
      <w:r>
        <w:rPr>
          <w:b/>
          <w:bCs/>
        </w:rPr>
        <w:t xml:space="preserve">4. The Trust Continuum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Ephemeral Trust</w:t>
      </w:r>
      <w:r>
        <w:t xml:space="preserve"> </w:t>
      </w:r>
      <w:r>
        <w:t xml:space="preserve">– Immediate, situational, portable.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Portable Anchors</w:t>
      </w:r>
      <w:r>
        <w:t xml:space="preserve"> </w:t>
      </w:r>
      <w:r>
        <w:t xml:space="preserve">– Temporary stability for coordinated action.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Permanent Anchors</w:t>
      </w:r>
      <w:r>
        <w:t xml:space="preserve"> </w:t>
      </w:r>
      <w:r>
        <w:t xml:space="preserve">– Long-term stability tied to enduring principles.</w:t>
      </w:r>
    </w:p>
    <w:p>
      <w:pPr>
        <w:pStyle w:val="FirstParagraph"/>
      </w:pPr>
      <w:r>
        <w:t xml:space="preserve">Healthy systems cycle along this continuum without locking at either extreme.</w:t>
      </w:r>
    </w:p>
    <w:p>
      <w:r>
        <w:pict>
          <v:rect style="width:0;height:1.5pt" o:hralign="center" o:hrstd="t" o:hr="t"/>
        </w:pict>
      </w:r>
    </w:p>
    <w:bookmarkEnd w:id="23"/>
    <w:bookmarkStart w:id="24" w:name="semantic-model-of-everything"/>
    <w:p>
      <w:pPr>
        <w:pStyle w:val="Heading2"/>
      </w:pPr>
      <w:r>
        <w:rPr>
          <w:b/>
          <w:bCs/>
        </w:rPr>
        <w:t xml:space="preserve">5. Semantic Model of Everything</w:t>
      </w:r>
    </w:p>
    <w:p>
      <w:pPr>
        <w:pStyle w:val="FirstParagraph"/>
      </w:pPr>
      <w:r>
        <w:t xml:space="preserve">If resonance is the universal substrate, then: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Nodes</w:t>
      </w:r>
      <w:r>
        <w:t xml:space="preserve"> </w:t>
      </w:r>
      <w:r>
        <w:t xml:space="preserve">= Entities capable of alignment (particles, organisms, people, networks).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Edges</w:t>
      </w:r>
      <w:r>
        <w:t xml:space="preserve"> </w:t>
      </w:r>
      <w:r>
        <w:t xml:space="preserve">= Trust dyads formed through resonance.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Fields</w:t>
      </w:r>
      <w:r>
        <w:t xml:space="preserve"> </w:t>
      </w:r>
      <w:r>
        <w:t xml:space="preserve">= Shared contexts in which resonance propagates.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Flows</w:t>
      </w:r>
      <w:r>
        <w:t xml:space="preserve"> </w:t>
      </w:r>
      <w:r>
        <w:t xml:space="preserve">= Exchanges of matter, energy, or meaning sustained by trust.</w:t>
      </w:r>
    </w:p>
    <w:p>
      <w:pPr>
        <w:pStyle w:val="BodyText"/>
      </w:pPr>
      <w:r>
        <w:t xml:space="preserve">This model applies equally to ecosystems, economies, neural networks, and cultural systems.</w:t>
      </w:r>
    </w:p>
    <w:p>
      <w:r>
        <w:pict>
          <v:rect style="width:0;height:1.5pt" o:hralign="center" o:hrstd="t" o:hr="t"/>
        </w:pict>
      </w:r>
    </w:p>
    <w:bookmarkEnd w:id="24"/>
    <w:bookmarkStart w:id="25" w:name="why-this-matters-for-human-systems"/>
    <w:p>
      <w:pPr>
        <w:pStyle w:val="Heading2"/>
      </w:pPr>
      <w:r>
        <w:rPr>
          <w:b/>
          <w:bCs/>
        </w:rPr>
        <w:t xml:space="preserve">6. Why This Matters for Human Systems</w:t>
      </w:r>
    </w:p>
    <w:p>
      <w:pPr>
        <w:pStyle w:val="Compact"/>
        <w:numPr>
          <w:ilvl w:val="0"/>
          <w:numId w:val="1003"/>
        </w:numPr>
      </w:pPr>
      <w:r>
        <w:t xml:space="preserve">Embedding ephemeral trust as a default interaction mode aligns human structures with patterns already proven stable in nature.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Recognizing resonance as the foundation of trust allows us to design systems that are adaptive, distributed, and non-coercive.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It reframes trust not as a fragile rarity, but as the natural state when alignment is possible and exploitation absent.</w:t>
      </w:r>
    </w:p>
    <w:p>
      <w:r>
        <w:pict>
          <v:rect style="width:0;height:1.5pt" o:hralign="center" o:hrstd="t" o:hr="t"/>
        </w:pict>
      </w:r>
    </w:p>
    <w:bookmarkEnd w:id="25"/>
    <w:bookmarkStart w:id="26" w:name="closing-thought"/>
    <w:p>
      <w:pPr>
        <w:pStyle w:val="Heading2"/>
      </w:pPr>
      <w:r>
        <w:rPr>
          <w:b/>
          <w:bCs/>
        </w:rPr>
        <w:t xml:space="preserve">7. Closing Thought</w:t>
      </w:r>
    </w:p>
    <w:p>
      <w:pPr>
        <w:pStyle w:val="FirstParagraph"/>
      </w:pPr>
      <w:r>
        <w:t xml:space="preserve">Every stable system — star, forest, city, friendship — is a harmony of resonance. Ephemeral trust is how those harmonies begin. By learning to cultivate, anchor, and release it, we align ourselves with the most fundamental design principle the universe offers.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Series: The Ephemeral Trust Papers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2025-08-05T00:32:32Z</dcterms:created>
  <dcterms:modified xsi:type="dcterms:W3CDTF">2025-08-05T00:32:32Z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