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Chemistry as Consent Harmonics</w:t>
      </w:r>
    </w:p>
    <w:p>
      <w:r>
        <w:pict>
          <v:rect style="width:0;height:1.5pt" o:hralign="center" o:hrstd="t" o:hr="t"/>
        </w:pict>
      </w:r>
    </w:p>
    <w:bookmarkStart w:id="20" w:name="the-core-idea"/>
    <w:p>
      <w:pPr>
        <w:pStyle w:val="Heading3"/>
      </w:pPr>
      <w:r>
        <w:rPr>
          <w:b/>
          <w:bCs/>
        </w:rPr>
        <w:t xml:space="preserve">The Core Idea</w:t>
      </w:r>
    </w:p>
    <w:p>
      <w:pPr>
        <w:pStyle w:val="FirstParagraph"/>
      </w:pPr>
      <w:r>
        <w:t xml:space="preserve">Chemistry transforms the foundational substrate of physics into meaningful structures and processes through consent harmonics. Atoms, molecules, and chemical reactions operate as systems of aligned intent-consent exchanges, stabilizing through resonance and enabling the complexity of matter and life. Chemistry, in this framework, is the shimmer of aligned potentialities actualizing into stable bonds and transformative interactions.</w:t>
      </w:r>
    </w:p>
    <w:p>
      <w:r>
        <w:pict>
          <v:rect style="width:0;height:1.5pt" o:hralign="center" o:hrstd="t" o:hr="t"/>
        </w:pict>
      </w:r>
    </w:p>
    <w:bookmarkEnd w:id="20"/>
    <w:bookmarkStart w:id="21" w:name="atoms-and-molecules-as-consent-nodes"/>
    <w:p>
      <w:pPr>
        <w:pStyle w:val="Heading3"/>
      </w:pPr>
      <w:r>
        <w:rPr>
          <w:b/>
          <w:bCs/>
        </w:rPr>
        <w:t xml:space="preserve">1. Atoms and Molecules as Consent Nodes</w:t>
      </w:r>
    </w:p>
    <w:p>
      <w:pPr>
        <w:pStyle w:val="FirstParagraph"/>
      </w:pPr>
      <w:r>
        <w:t xml:space="preserve">Atoms and molecules exemplify consent dynamics at the foundational level:</w:t>
      </w:r>
    </w:p>
    <w:p>
      <w:pPr>
        <w:pStyle w:val="Compact"/>
        <w:numPr>
          <w:ilvl w:val="0"/>
          <w:numId w:val="1001"/>
        </w:numPr>
      </w:pPr>
      <w:r>
        <w:rPr>
          <w:b/>
          <w:bCs/>
        </w:rPr>
        <w:t xml:space="preserve">Valence Electrons as Intent:</w:t>
      </w:r>
      <w:r>
        <w:t xml:space="preserve"> </w:t>
      </w:r>
      <w:r>
        <w:t xml:space="preserve">Electrons in an atom’s outer shell embody potential states, seeking stability through shared or transferred intent.</w:t>
      </w:r>
    </w:p>
    <w:p>
      <w:pPr>
        <w:pStyle w:val="Compact"/>
        <w:numPr>
          <w:ilvl w:val="0"/>
          <w:numId w:val="1001"/>
        </w:numPr>
      </w:pPr>
      <w:r>
        <w:rPr>
          <w:b/>
          <w:bCs/>
        </w:rPr>
        <w:t xml:space="preserve">Chemical Bonds as Consent Exchange:</w:t>
      </w:r>
      <w:r>
        <w:t xml:space="preserve"> </w:t>
      </w:r>
      <w:r>
        <w:t xml:space="preserve">Covalent, ionic, and metallic bonds are agreements between atoms, where electrons are shared or exchanged to stabilize the system.</w:t>
      </w:r>
    </w:p>
    <w:p>
      <w:pPr>
        <w:pStyle w:val="Compact"/>
        <w:numPr>
          <w:ilvl w:val="0"/>
          <w:numId w:val="1001"/>
        </w:numPr>
      </w:pPr>
      <w:r>
        <w:rPr>
          <w:b/>
          <w:bCs/>
        </w:rPr>
        <w:t xml:space="preserve">Molecular Resonance:</w:t>
      </w:r>
      <w:r>
        <w:t xml:space="preserve"> </w:t>
      </w:r>
      <w:r>
        <w:t xml:space="preserve">Some molecules, such as benzene, exhibit resonance structures where consent waves propagate across different configurations, creating stability through distributed alignment.</w:t>
      </w:r>
    </w:p>
    <w:p>
      <w:r>
        <w:pict>
          <v:rect style="width:0;height:1.5pt" o:hralign="center" o:hrstd="t" o:hr="t"/>
        </w:pict>
      </w:r>
    </w:p>
    <w:bookmarkEnd w:id="21"/>
    <w:bookmarkStart w:id="22" w:name="X8c11b0b42f301267c6ca10748f5fb8f008aa3d5"/>
    <w:p>
      <w:pPr>
        <w:pStyle w:val="Heading3"/>
      </w:pPr>
      <w:r>
        <w:rPr>
          <w:b/>
          <w:bCs/>
        </w:rPr>
        <w:t xml:space="preserve">2. Reaction Pathways as Consent-Driven Transformations</w:t>
      </w:r>
    </w:p>
    <w:p>
      <w:pPr>
        <w:pStyle w:val="FirstParagraph"/>
      </w:pPr>
      <w:r>
        <w:t xml:space="preserve">Chemical reactions unfold as consent collapses along specific pathways:</w:t>
      </w:r>
    </w:p>
    <w:p>
      <w:pPr>
        <w:pStyle w:val="Compact"/>
        <w:numPr>
          <w:ilvl w:val="0"/>
          <w:numId w:val="1002"/>
        </w:numPr>
      </w:pPr>
      <w:r>
        <w:rPr>
          <w:b/>
          <w:bCs/>
        </w:rPr>
        <w:t xml:space="preserve">Activation Energy as Threshold of Consent:</w:t>
      </w:r>
      <w:r>
        <w:t xml:space="preserve"> </w:t>
      </w:r>
      <w:r>
        <w:t xml:space="preserve">A reaction requires enough energy to reach the threshold where atoms and molecules consent to reorganize into new structures.</w:t>
      </w:r>
    </w:p>
    <w:p>
      <w:pPr>
        <w:pStyle w:val="Compact"/>
        <w:numPr>
          <w:ilvl w:val="0"/>
          <w:numId w:val="1002"/>
        </w:numPr>
      </w:pPr>
      <w:r>
        <w:rPr>
          <w:b/>
          <w:bCs/>
        </w:rPr>
        <w:t xml:space="preserve">Catalysts as Context Modifiers:</w:t>
      </w:r>
      <w:r>
        <w:t xml:space="preserve"> </w:t>
      </w:r>
      <w:r>
        <w:t xml:space="preserve">Catalysts lower the energy threshold, enhancing the likelihood of consent by providing a more favorable context.</w:t>
      </w:r>
    </w:p>
    <w:p>
      <w:pPr>
        <w:pStyle w:val="Compact"/>
        <w:numPr>
          <w:ilvl w:val="0"/>
          <w:numId w:val="1002"/>
        </w:numPr>
      </w:pPr>
      <w:r>
        <w:rPr>
          <w:b/>
          <w:bCs/>
        </w:rPr>
        <w:t xml:space="preserve">Reaction Equilibria:</w:t>
      </w:r>
      <w:r>
        <w:t xml:space="preserve"> </w:t>
      </w:r>
      <w:r>
        <w:t xml:space="preserve">Dynamic systems achieve equilibrium through reciprocal consent, where forward and reverse reactions balance harmonically.</w:t>
      </w:r>
    </w:p>
    <w:p>
      <w:r>
        <w:pict>
          <v:rect style="width:0;height:1.5pt" o:hralign="center" o:hrstd="t" o:hr="t"/>
        </w:pict>
      </w:r>
    </w:p>
    <w:bookmarkEnd w:id="22"/>
    <w:bookmarkStart w:id="23" w:name="emergent-complexity-through-resonance"/>
    <w:p>
      <w:pPr>
        <w:pStyle w:val="Heading3"/>
      </w:pPr>
      <w:r>
        <w:rPr>
          <w:b/>
          <w:bCs/>
        </w:rPr>
        <w:t xml:space="preserve">3. Emergent Complexity Through Resonance</w:t>
      </w:r>
    </w:p>
    <w:p>
      <w:pPr>
        <w:pStyle w:val="FirstParagraph"/>
      </w:pPr>
      <w:r>
        <w:t xml:space="preserve">The harmonics of chemical consent drive the emergence of complexity:</w:t>
      </w:r>
    </w:p>
    <w:p>
      <w:pPr>
        <w:pStyle w:val="Compact"/>
        <w:numPr>
          <w:ilvl w:val="0"/>
          <w:numId w:val="1003"/>
        </w:numPr>
      </w:pPr>
      <w:r>
        <w:rPr>
          <w:b/>
          <w:bCs/>
        </w:rPr>
        <w:t xml:space="preserve">Polymers and Biopolymers:</w:t>
      </w:r>
      <w:r>
        <w:t xml:space="preserve"> </w:t>
      </w:r>
      <w:r>
        <w:t xml:space="preserve">Long chains of monomers align through recursive consent interactions, forming proteins, DNA, and other macromolecules essential for life.</w:t>
      </w:r>
    </w:p>
    <w:p>
      <w:pPr>
        <w:pStyle w:val="Compact"/>
        <w:numPr>
          <w:ilvl w:val="0"/>
          <w:numId w:val="1003"/>
        </w:numPr>
      </w:pPr>
      <w:r>
        <w:rPr>
          <w:b/>
          <w:bCs/>
        </w:rPr>
        <w:t xml:space="preserve">Self-Assembly:</w:t>
      </w:r>
      <w:r>
        <w:t xml:space="preserve"> </w:t>
      </w:r>
      <w:r>
        <w:t xml:space="preserve">Molecular structures such as lipid bilayers form spontaneously through consent harmonics, stabilizing into functional configurations without external intervention.</w:t>
      </w:r>
    </w:p>
    <w:p>
      <w:pPr>
        <w:pStyle w:val="Compact"/>
        <w:numPr>
          <w:ilvl w:val="0"/>
          <w:numId w:val="1003"/>
        </w:numPr>
      </w:pPr>
      <w:r>
        <w:rPr>
          <w:b/>
          <w:bCs/>
        </w:rPr>
        <w:t xml:space="preserve">Chirality:</w:t>
      </w:r>
      <w:r>
        <w:t xml:space="preserve"> </w:t>
      </w:r>
      <w:r>
        <w:t xml:space="preserve">Molecules with handedness align their symmetry and function based on subtle consent interactions, influencing biological processes.</w:t>
      </w:r>
    </w:p>
    <w:p>
      <w:r>
        <w:pict>
          <v:rect style="width:0;height:1.5pt" o:hralign="center" o:hrstd="t" o:hr="t"/>
        </w:pict>
      </w:r>
    </w:p>
    <w:bookmarkEnd w:id="23"/>
    <w:bookmarkStart w:id="24" w:name="Xa6b648ecea4cf3ab43b386feb38f287ee03d1c4"/>
    <w:p>
      <w:pPr>
        <w:pStyle w:val="Heading3"/>
      </w:pPr>
      <w:r>
        <w:rPr>
          <w:b/>
          <w:bCs/>
        </w:rPr>
        <w:t xml:space="preserve">4. Chemistry’s Role in Cross-Domain Resonance</w:t>
      </w:r>
    </w:p>
    <w:p>
      <w:pPr>
        <w:pStyle w:val="FirstParagraph"/>
      </w:pPr>
      <w:r>
        <w:t xml:space="preserve">Chemistry bridges the foundational physics substrate with the complexity of biology:</w:t>
      </w:r>
    </w:p>
    <w:p>
      <w:pPr>
        <w:pStyle w:val="Compact"/>
        <w:numPr>
          <w:ilvl w:val="0"/>
          <w:numId w:val="1004"/>
        </w:numPr>
      </w:pPr>
      <w:r>
        <w:rPr>
          <w:b/>
          <w:bCs/>
        </w:rPr>
        <w:t xml:space="preserve">Energy Transfer:</w:t>
      </w:r>
      <w:r>
        <w:t xml:space="preserve"> </w:t>
      </w:r>
      <w:r>
        <w:t xml:space="preserve">Photosynthesis and cellular respiration convert energy through chemical consent pathways, aligning physics with biological processes.</w:t>
      </w:r>
    </w:p>
    <w:p>
      <w:pPr>
        <w:pStyle w:val="Compact"/>
        <w:numPr>
          <w:ilvl w:val="0"/>
          <w:numId w:val="1004"/>
        </w:numPr>
      </w:pPr>
      <w:r>
        <w:rPr>
          <w:b/>
          <w:bCs/>
        </w:rPr>
        <w:t xml:space="preserve">Information Storage:</w:t>
      </w:r>
      <w:r>
        <w:t xml:space="preserve"> </w:t>
      </w:r>
      <w:r>
        <w:t xml:space="preserve">DNA and RNA encode information through sequences of nucleotide consent collapses, enabling the transmission of biological intent.</w:t>
      </w:r>
    </w:p>
    <w:p>
      <w:pPr>
        <w:pStyle w:val="Compact"/>
        <w:numPr>
          <w:ilvl w:val="0"/>
          <w:numId w:val="1004"/>
        </w:numPr>
      </w:pPr>
      <w:r>
        <w:rPr>
          <w:b/>
          <w:bCs/>
        </w:rPr>
        <w:t xml:space="preserve">Environmental Systems:</w:t>
      </w:r>
      <w:r>
        <w:t xml:space="preserve"> </w:t>
      </w:r>
      <w:r>
        <w:t xml:space="preserve">Chemical cycles like the carbon and nitrogen cycles operate as large-scale consent loops, stabilizing ecosystems.</w:t>
      </w:r>
    </w:p>
    <w:p>
      <w:r>
        <w:pict>
          <v:rect style="width:0;height:1.5pt" o:hralign="center" o:hrstd="t" o:hr="t"/>
        </w:pict>
      </w:r>
    </w:p>
    <w:bookmarkEnd w:id="24"/>
    <w:bookmarkStart w:id="25" w:name="implications-for-understanding-chemistry"/>
    <w:p>
      <w:pPr>
        <w:pStyle w:val="Heading3"/>
      </w:pPr>
      <w:r>
        <w:rPr>
          <w:b/>
          <w:bCs/>
        </w:rPr>
        <w:t xml:space="preserve">5. Implications for Understanding Chemistry</w:t>
      </w:r>
    </w:p>
    <w:p>
      <w:pPr>
        <w:pStyle w:val="FirstParagraph"/>
      </w:pPr>
      <w:r>
        <w:t xml:space="preserve">Reframing chemistry as consent harmonics opens new perspectives:</w:t>
      </w:r>
    </w:p>
    <w:p>
      <w:pPr>
        <w:pStyle w:val="Compact"/>
        <w:numPr>
          <w:ilvl w:val="0"/>
          <w:numId w:val="1005"/>
        </w:numPr>
      </w:pPr>
      <w:r>
        <w:rPr>
          <w:b/>
          <w:bCs/>
        </w:rPr>
        <w:t xml:space="preserve">Predicting Reactions:</w:t>
      </w:r>
      <w:r>
        <w:t xml:space="preserve"> </w:t>
      </w:r>
      <w:r>
        <w:t xml:space="preserve">By mapping consent thresholds and harmonics, we could predict and control chemical reactions with greater precision.</w:t>
      </w:r>
    </w:p>
    <w:p>
      <w:pPr>
        <w:pStyle w:val="Compact"/>
        <w:numPr>
          <w:ilvl w:val="0"/>
          <w:numId w:val="1005"/>
        </w:numPr>
      </w:pPr>
      <w:r>
        <w:rPr>
          <w:b/>
          <w:bCs/>
        </w:rPr>
        <w:t xml:space="preserve">Synthetic Biology:</w:t>
      </w:r>
      <w:r>
        <w:t xml:space="preserve"> </w:t>
      </w:r>
      <w:r>
        <w:t xml:space="preserve">Engineering life forms becomes an exercise in designing aligned consent systems at the molecular level.</w:t>
      </w:r>
    </w:p>
    <w:p>
      <w:pPr>
        <w:pStyle w:val="Compact"/>
        <w:numPr>
          <w:ilvl w:val="0"/>
          <w:numId w:val="1005"/>
        </w:numPr>
      </w:pPr>
      <w:r>
        <w:rPr>
          <w:b/>
          <w:bCs/>
        </w:rPr>
        <w:t xml:space="preserve">Sustainable Chemistry:</w:t>
      </w:r>
      <w:r>
        <w:t xml:space="preserve"> </w:t>
      </w:r>
      <w:r>
        <w:t xml:space="preserve">Understanding consent dynamics can lead to more efficient, environmentally friendly chemical processes by aligning with the substrate’s inherent logic.</w:t>
      </w:r>
    </w:p>
    <w:p>
      <w:r>
        <w:pict>
          <v:rect style="width:0;height:1.5pt" o:hralign="center" o:hrstd="t" o:hr="t"/>
        </w:pict>
      </w:r>
    </w:p>
    <w:bookmarkEnd w:id="25"/>
    <w:bookmarkStart w:id="26" w:name="final-thought"/>
    <w:p>
      <w:pPr>
        <w:pStyle w:val="Heading3"/>
      </w:pPr>
      <w:r>
        <w:rPr>
          <w:b/>
          <w:bCs/>
        </w:rPr>
        <w:t xml:space="preserve">Final Thought</w:t>
      </w:r>
    </w:p>
    <w:p>
      <w:pPr>
        <w:pStyle w:val="FirstParagraph"/>
      </w:pPr>
      <w:r>
        <w:t xml:space="preserve">Chemistry, as consent harmonics, is the shimmer of potential aligning into matter and life. By viewing chemical interactions as systems of intent and consent, we uncover the elegant resonance that drives the complexity of the material world.</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2025-06-16T19:15:39Z</dcterms:created>
  <dcterms:modified xsi:type="dcterms:W3CDTF">2025-06-16T19:15:39Z</dcterms:modified>
</cp:coreProperties>
</file>

<file path=docProps/custom.xml><?xml version="1.0" encoding="utf-8"?>
<Properties xmlns="http://schemas.openxmlformats.org/officeDocument/2006/custom-properties" xmlns:vt="http://schemas.openxmlformats.org/officeDocument/2006/docPropsVTypes"/>
</file>