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emantic-orchestration-fabric"/>
    <w:p>
      <w:pPr>
        <w:pStyle w:val="Heading1"/>
      </w:pPr>
      <w:r>
        <w:t xml:space="preserve">Semantic Orchestration Fabric</w:t>
      </w:r>
    </w:p>
    <w:p>
      <w:pPr>
        <w:pStyle w:val="FirstParagraph"/>
      </w:pPr>
      <w:r>
        <w:t xml:space="preserve">A constitutional, event-driven architecture for safe AI delegation and human–AI blended execution.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Semantic Orchestration Fabric is a governance-first execution layer where:</w:t>
      </w:r>
    </w:p>
    <w:p>
      <w:pPr>
        <w:pStyle w:val="Compact"/>
        <w:numPr>
          <w:ilvl w:val="0"/>
          <w:numId w:val="1001"/>
        </w:numPr>
      </w:pPr>
      <w:r>
        <w:t xml:space="preserve">Text is law (policies, procedures, regulations, client overlays)</w:t>
      </w:r>
    </w:p>
    <w:p>
      <w:pPr>
        <w:pStyle w:val="Compact"/>
        <w:numPr>
          <w:ilvl w:val="0"/>
          <w:numId w:val="1001"/>
        </w:numPr>
      </w:pPr>
      <w:r>
        <w:t xml:space="preserve">Roles are first-class power channels</w:t>
      </w:r>
    </w:p>
    <w:p>
      <w:pPr>
        <w:pStyle w:val="Compact"/>
        <w:numPr>
          <w:ilvl w:val="0"/>
          <w:numId w:val="1001"/>
        </w:numPr>
      </w:pPr>
      <w:r>
        <w:t xml:space="preserve">Boundaries 🝚 are structurally enforced</w:t>
      </w:r>
    </w:p>
    <w:p>
      <w:pPr>
        <w:pStyle w:val="Compact"/>
        <w:numPr>
          <w:ilvl w:val="0"/>
          <w:numId w:val="1001"/>
        </w:numPr>
      </w:pPr>
      <w:r>
        <w:t xml:space="preserve">Interpretation is allowed but must cite governing artifacts</w:t>
      </w:r>
    </w:p>
    <w:p>
      <w:pPr>
        <w:pStyle w:val="Compact"/>
        <w:numPr>
          <w:ilvl w:val="0"/>
          <w:numId w:val="1001"/>
        </w:numPr>
      </w:pPr>
      <w:r>
        <w:t xml:space="preserve">Decisions become durable artifacts</w:t>
      </w:r>
    </w:p>
    <w:p>
      <w:pPr>
        <w:pStyle w:val="Compact"/>
        <w:numPr>
          <w:ilvl w:val="0"/>
          <w:numId w:val="1001"/>
        </w:numPr>
      </w:pPr>
      <w:r>
        <w:t xml:space="preserve">Optimization never outruns legibility</w:t>
      </w:r>
    </w:p>
    <w:p>
      <w:pPr>
        <w:pStyle w:val="FirstParagraph"/>
      </w:pPr>
      <w:r>
        <w:t xml:space="preserve">Primary objectives:</w:t>
      </w:r>
    </w:p>
    <w:p>
      <w:pPr>
        <w:pStyle w:val="Compact"/>
        <w:numPr>
          <w:ilvl w:val="0"/>
          <w:numId w:val="1002"/>
        </w:numPr>
      </w:pPr>
      <w:r>
        <w:t xml:space="preserve">Safe AI delegation</w:t>
      </w:r>
    </w:p>
    <w:p>
      <w:pPr>
        <w:pStyle w:val="Compact"/>
        <w:numPr>
          <w:ilvl w:val="0"/>
          <w:numId w:val="1002"/>
        </w:numPr>
      </w:pPr>
      <w:r>
        <w:t xml:space="preserve">Operational legibility for domain experts</w:t>
      </w:r>
    </w:p>
    <w:p>
      <w:pPr>
        <w:pStyle w:val="Compact"/>
        <w:numPr>
          <w:ilvl w:val="0"/>
          <w:numId w:val="1002"/>
        </w:numPr>
      </w:pPr>
      <w:r>
        <w:t xml:space="preserve">Auditability across time</w:t>
      </w:r>
    </w:p>
    <w:p>
      <w:pPr>
        <w:pStyle w:val="Compact"/>
        <w:numPr>
          <w:ilvl w:val="0"/>
          <w:numId w:val="1002"/>
        </w:numPr>
      </w:pPr>
      <w:r>
        <w:t xml:space="preserve">Boundary-aware execution</w:t>
      </w:r>
    </w:p>
    <w:p>
      <w:pPr>
        <w:pStyle w:val="Compact"/>
        <w:numPr>
          <w:ilvl w:val="0"/>
          <w:numId w:val="1002"/>
        </w:numPr>
      </w:pPr>
      <w:r>
        <w:t xml:space="preserve">Human–AI interoperability</w:t>
      </w:r>
    </w:p>
    <w:p>
      <w:r>
        <w:pict>
          <v:rect style="width:0;height:1.5pt" o:hralign="center" o:hrstd="t" o:hr="t"/>
        </w:pict>
      </w:r>
    </w:p>
    <w:bookmarkEnd w:id="20"/>
    <w:bookmarkStart w:id="25" w:name="core-principles"/>
    <w:p>
      <w:pPr>
        <w:pStyle w:val="Heading2"/>
      </w:pPr>
      <w:r>
        <w:t xml:space="preserve">2. Core Principles</w:t>
      </w:r>
    </w:p>
    <w:bookmarkStart w:id="21" w:name="text-as-law"/>
    <w:p>
      <w:pPr>
        <w:pStyle w:val="Heading3"/>
      </w:pPr>
      <w:r>
        <w:t xml:space="preserve">2.1 Text as Law</w:t>
      </w:r>
    </w:p>
    <w:p>
      <w:pPr>
        <w:pStyle w:val="FirstParagraph"/>
      </w:pPr>
      <w:r>
        <w:t xml:space="preserve">All governing logic exists in human-readable artifacts:</w:t>
      </w:r>
    </w:p>
    <w:p>
      <w:pPr>
        <w:pStyle w:val="Compact"/>
        <w:numPr>
          <w:ilvl w:val="0"/>
          <w:numId w:val="1003"/>
        </w:numPr>
      </w:pPr>
      <w:r>
        <w:t xml:space="preserve">Policies</w:t>
      </w:r>
    </w:p>
    <w:p>
      <w:pPr>
        <w:pStyle w:val="Compact"/>
        <w:numPr>
          <w:ilvl w:val="0"/>
          <w:numId w:val="1003"/>
        </w:numPr>
      </w:pPr>
      <w:r>
        <w:t xml:space="preserve">Procedures</w:t>
      </w:r>
    </w:p>
    <w:p>
      <w:pPr>
        <w:pStyle w:val="Compact"/>
        <w:numPr>
          <w:ilvl w:val="0"/>
          <w:numId w:val="1003"/>
        </w:numPr>
      </w:pPr>
      <w:r>
        <w:t xml:space="preserve">Regulatory documents</w:t>
      </w:r>
    </w:p>
    <w:p>
      <w:pPr>
        <w:pStyle w:val="Compact"/>
        <w:numPr>
          <w:ilvl w:val="0"/>
          <w:numId w:val="1003"/>
        </w:numPr>
      </w:pPr>
      <w:r>
        <w:t xml:space="preserve">Client-specific overlays</w:t>
      </w:r>
    </w:p>
    <w:p>
      <w:pPr>
        <w:pStyle w:val="Compact"/>
        <w:numPr>
          <w:ilvl w:val="0"/>
          <w:numId w:val="1003"/>
        </w:numPr>
      </w:pPr>
      <w:r>
        <w:t xml:space="preserve">Role playbooks</w:t>
      </w:r>
    </w:p>
    <w:p>
      <w:pPr>
        <w:pStyle w:val="Compact"/>
        <w:numPr>
          <w:ilvl w:val="0"/>
          <w:numId w:val="1003"/>
        </w:numPr>
      </w:pPr>
      <w:r>
        <w:t xml:space="preserve">Interpretive memos</w:t>
      </w:r>
    </w:p>
    <w:p>
      <w:pPr>
        <w:pStyle w:val="FirstParagraph"/>
      </w:pPr>
      <w:r>
        <w:t xml:space="preserve">Compiled logic may exist, but must remain subordinate to text.</w:t>
      </w:r>
    </w:p>
    <w:p>
      <w:r>
        <w:pict>
          <v:rect style="width:0;height:1.5pt" o:hralign="center" o:hrstd="t" o:hr="t"/>
        </w:pict>
      </w:r>
    </w:p>
    <w:bookmarkEnd w:id="21"/>
    <w:bookmarkStart w:id="22" w:name="artifact-vs-attractor-discipline"/>
    <w:p>
      <w:pPr>
        <w:pStyle w:val="Heading3"/>
      </w:pPr>
      <w:r>
        <w:t xml:space="preserve">2.2 Artifact vs Attractor Discipline</w:t>
      </w:r>
    </w:p>
    <w:p>
      <w:pPr>
        <w:pStyle w:val="Compact"/>
        <w:numPr>
          <w:ilvl w:val="0"/>
          <w:numId w:val="1004"/>
        </w:numPr>
      </w:pPr>
      <w:r>
        <w:t xml:space="preserve">Artifact: versioned, stable, addressable record</w:t>
      </w:r>
    </w:p>
    <w:p>
      <w:pPr>
        <w:pStyle w:val="Compact"/>
        <w:numPr>
          <w:ilvl w:val="0"/>
          <w:numId w:val="1004"/>
        </w:numPr>
      </w:pPr>
      <w:r>
        <w:t xml:space="preserve">Attractor: interpretive reasoning process</w:t>
      </w:r>
    </w:p>
    <w:p>
      <w:pPr>
        <w:pStyle w:val="FirstParagraph"/>
      </w:pPr>
      <w:r>
        <w:t xml:space="preserve">Policy text = Artifact</w:t>
      </w:r>
      <w:r>
        <w:br/>
      </w:r>
      <w:r>
        <w:t xml:space="preserve">Agent reasoning = Attractor</w:t>
      </w:r>
      <w:r>
        <w:br/>
      </w:r>
      <w:r>
        <w:t xml:space="preserve">Decision record = Artifact</w:t>
      </w:r>
    </w:p>
    <w:p>
      <w:pPr>
        <w:pStyle w:val="BodyText"/>
      </w:pPr>
      <w:r>
        <w:t xml:space="preserve">The system must never collapse these layers.</w:t>
      </w:r>
    </w:p>
    <w:p>
      <w:r>
        <w:pict>
          <v:rect style="width:0;height:1.5pt" o:hralign="center" o:hrstd="t" o:hr="t"/>
        </w:pict>
      </w:r>
    </w:p>
    <w:bookmarkEnd w:id="22"/>
    <w:bookmarkStart w:id="23" w:name="boundary-enforcement"/>
    <w:p>
      <w:pPr>
        <w:pStyle w:val="Heading3"/>
      </w:pPr>
      <w:r>
        <w:t xml:space="preserve">2.3 Boundary 🝚 Enforcement</w:t>
      </w:r>
    </w:p>
    <w:p>
      <w:pPr>
        <w:pStyle w:val="FirstParagraph"/>
      </w:pPr>
      <w:r>
        <w:t xml:space="preserve">Every action is scoped by boundary metadata:</w:t>
      </w:r>
    </w:p>
    <w:p>
      <w:pPr>
        <w:pStyle w:val="Compact"/>
        <w:numPr>
          <w:ilvl w:val="0"/>
          <w:numId w:val="1005"/>
        </w:numPr>
      </w:pPr>
      <w:r>
        <w:t xml:space="preserve">Client</w:t>
      </w:r>
    </w:p>
    <w:p>
      <w:pPr>
        <w:pStyle w:val="Compact"/>
        <w:numPr>
          <w:ilvl w:val="0"/>
          <w:numId w:val="1005"/>
        </w:numPr>
      </w:pPr>
      <w:r>
        <w:t xml:space="preserve">Entity</w:t>
      </w:r>
    </w:p>
    <w:p>
      <w:pPr>
        <w:pStyle w:val="Compact"/>
        <w:numPr>
          <w:ilvl w:val="0"/>
          <w:numId w:val="1005"/>
        </w:numPr>
      </w:pPr>
      <w:r>
        <w:t xml:space="preserve">Jurisdiction</w:t>
      </w:r>
    </w:p>
    <w:p>
      <w:pPr>
        <w:pStyle w:val="Compact"/>
        <w:numPr>
          <w:ilvl w:val="0"/>
          <w:numId w:val="1005"/>
        </w:numPr>
      </w:pPr>
      <w:r>
        <w:t xml:space="preserve">Business unit</w:t>
      </w:r>
    </w:p>
    <w:p>
      <w:pPr>
        <w:pStyle w:val="Compact"/>
        <w:numPr>
          <w:ilvl w:val="0"/>
          <w:numId w:val="1005"/>
        </w:numPr>
      </w:pPr>
      <w:r>
        <w:t xml:space="preserve">Data domain</w:t>
      </w:r>
    </w:p>
    <w:p>
      <w:pPr>
        <w:pStyle w:val="FirstParagraph"/>
      </w:pPr>
      <w:r>
        <w:t xml:space="preserve">Boundary enforcement must be architectural (permission-based), not prompt-based.</w:t>
      </w:r>
    </w:p>
    <w:p>
      <w:r>
        <w:pict>
          <v:rect style="width:0;height:1.5pt" o:hralign="center" o:hrstd="t" o:hr="t"/>
        </w:pict>
      </w:r>
    </w:p>
    <w:bookmarkEnd w:id="23"/>
    <w:bookmarkStart w:id="24" w:name="authority-ordering"/>
    <w:p>
      <w:pPr>
        <w:pStyle w:val="Heading3"/>
      </w:pPr>
      <w:r>
        <w:t xml:space="preserve">2.4 Authority Ordering</w:t>
      </w:r>
    </w:p>
    <w:p>
      <w:pPr>
        <w:pStyle w:val="FirstParagraph"/>
      </w:pPr>
      <w:r>
        <w:t xml:space="preserve">Example authority hierarchy:</w:t>
      </w:r>
    </w:p>
    <w:p>
      <w:pPr>
        <w:pStyle w:val="BodyText"/>
      </w:pPr>
      <w:r>
        <w:t xml:space="preserve">Regulation</w:t>
      </w:r>
      <w:r>
        <w:br/>
      </w:r>
      <w:r>
        <w:t xml:space="preserve">&gt; Client Agreement</w:t>
      </w:r>
      <w:r>
        <w:br/>
      </w:r>
      <w:r>
        <w:t xml:space="preserve">&gt; Company Policy</w:t>
      </w:r>
      <w:r>
        <w:br/>
      </w:r>
      <w:r>
        <w:t xml:space="preserve">&gt; Procedure / SOP</w:t>
      </w:r>
      <w:r>
        <w:br/>
      </w:r>
      <w:r>
        <w:t xml:space="preserve">&gt; Interpretive Memo</w:t>
      </w:r>
    </w:p>
    <w:p>
      <w:pPr>
        <w:pStyle w:val="BodyText"/>
      </w:pPr>
      <w:r>
        <w:t xml:space="preserve">Conflicts must resolve upward.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stem-spine-event-driven-architecture"/>
    <w:p>
      <w:pPr>
        <w:pStyle w:val="Heading2"/>
      </w:pPr>
      <w:r>
        <w:t xml:space="preserve">3. System Spine: Event-Driven Architecture</w:t>
      </w:r>
    </w:p>
    <w:p>
      <w:pPr>
        <w:pStyle w:val="FirstParagraph"/>
      </w:pPr>
      <w:r>
        <w:t xml:space="preserve">The orchestration fabric operates on events.</w:t>
      </w:r>
    </w:p>
    <w:p>
      <w:pPr>
        <w:pStyle w:val="BodyText"/>
      </w:pPr>
      <w:r>
        <w:t xml:space="preserve">Events describe facts, not commands.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invoice.received</w:t>
      </w:r>
    </w:p>
    <w:p>
      <w:pPr>
        <w:pStyle w:val="Compact"/>
        <w:numPr>
          <w:ilvl w:val="0"/>
          <w:numId w:val="1006"/>
        </w:numPr>
      </w:pPr>
      <w:r>
        <w:t xml:space="preserve">invoice.validated</w:t>
      </w:r>
    </w:p>
    <w:p>
      <w:pPr>
        <w:pStyle w:val="Compact"/>
        <w:numPr>
          <w:ilvl w:val="0"/>
          <w:numId w:val="1006"/>
        </w:numPr>
      </w:pPr>
      <w:r>
        <w:t xml:space="preserve">exception.raised</w:t>
      </w:r>
    </w:p>
    <w:p>
      <w:pPr>
        <w:pStyle w:val="Compact"/>
        <w:numPr>
          <w:ilvl w:val="0"/>
          <w:numId w:val="1006"/>
        </w:numPr>
      </w:pPr>
      <w:r>
        <w:t xml:space="preserve">approval.requested</w:t>
      </w:r>
    </w:p>
    <w:p>
      <w:pPr>
        <w:pStyle w:val="Compact"/>
        <w:numPr>
          <w:ilvl w:val="0"/>
          <w:numId w:val="1006"/>
        </w:numPr>
      </w:pPr>
      <w:r>
        <w:t xml:space="preserve">approval.granted</w:t>
      </w:r>
    </w:p>
    <w:p>
      <w:pPr>
        <w:pStyle w:val="Compact"/>
        <w:numPr>
          <w:ilvl w:val="0"/>
          <w:numId w:val="1006"/>
        </w:numPr>
      </w:pPr>
      <w:r>
        <w:t xml:space="preserve">entry.posted</w:t>
      </w:r>
    </w:p>
    <w:p>
      <w:pPr>
        <w:pStyle w:val="Compact"/>
        <w:numPr>
          <w:ilvl w:val="0"/>
          <w:numId w:val="1006"/>
        </w:numPr>
      </w:pPr>
      <w:r>
        <w:t xml:space="preserve">period.close.requested</w:t>
      </w:r>
    </w:p>
    <w:p>
      <w:pPr>
        <w:pStyle w:val="FirstParagraph"/>
      </w:pPr>
      <w:r>
        <w:t xml:space="preserve">Events contain:</w:t>
      </w:r>
    </w:p>
    <w:p>
      <w:pPr>
        <w:pStyle w:val="Compact"/>
        <w:numPr>
          <w:ilvl w:val="0"/>
          <w:numId w:val="1007"/>
        </w:numPr>
      </w:pPr>
      <w:r>
        <w:t xml:space="preserve">event_type</w:t>
      </w:r>
    </w:p>
    <w:p>
      <w:pPr>
        <w:pStyle w:val="Compact"/>
        <w:numPr>
          <w:ilvl w:val="0"/>
          <w:numId w:val="1007"/>
        </w:numPr>
      </w:pPr>
      <w:r>
        <w:t xml:space="preserve">boundary_scope_id 🝚</w:t>
      </w:r>
    </w:p>
    <w:p>
      <w:pPr>
        <w:pStyle w:val="Compact"/>
        <w:numPr>
          <w:ilvl w:val="0"/>
          <w:numId w:val="1007"/>
        </w:numPr>
      </w:pPr>
      <w:r>
        <w:t xml:space="preserve">subject_id</w:t>
      </w:r>
    </w:p>
    <w:p>
      <w:pPr>
        <w:pStyle w:val="Compact"/>
        <w:numPr>
          <w:ilvl w:val="0"/>
          <w:numId w:val="1007"/>
        </w:numPr>
      </w:pPr>
      <w:r>
        <w:t xml:space="preserve">occurred_at</w:t>
      </w:r>
    </w:p>
    <w:p>
      <w:pPr>
        <w:pStyle w:val="Compact"/>
        <w:numPr>
          <w:ilvl w:val="0"/>
          <w:numId w:val="1007"/>
        </w:numPr>
      </w:pPr>
      <w:r>
        <w:t xml:space="preserve">payload (references preferred over raw data)</w:t>
      </w:r>
    </w:p>
    <w:p>
      <w:pPr>
        <w:pStyle w:val="Compact"/>
        <w:numPr>
          <w:ilvl w:val="0"/>
          <w:numId w:val="1007"/>
        </w:numPr>
      </w:pPr>
      <w:r>
        <w:t xml:space="preserve">correlation_id / causation_id</w:t>
      </w:r>
    </w:p>
    <w:p>
      <w:pPr>
        <w:pStyle w:val="FirstParagraph"/>
      </w:pPr>
      <w:r>
        <w:t xml:space="preserve">Events form the procedural spine.</w:t>
      </w:r>
    </w:p>
    <w:p>
      <w:r>
        <w:pict>
          <v:rect style="width:0;height:1.5pt" o:hralign="center" o:hrstd="t" o:hr="t"/>
        </w:pict>
      </w:r>
    </w:p>
    <w:bookmarkEnd w:id="26"/>
    <w:bookmarkStart w:id="27" w:name="roles-as-first-class-execution-units"/>
    <w:p>
      <w:pPr>
        <w:pStyle w:val="Heading2"/>
      </w:pPr>
      <w:r>
        <w:t xml:space="preserve">4. Roles as First-Class Execution Units</w:t>
      </w:r>
    </w:p>
    <w:p>
      <w:pPr>
        <w:pStyle w:val="FirstParagraph"/>
      </w:pPr>
      <w:r>
        <w:t xml:space="preserve">Roles define power channels.</w:t>
      </w:r>
    </w:p>
    <w:p>
      <w:pPr>
        <w:pStyle w:val="BodyText"/>
      </w:pPr>
      <w:r>
        <w:t xml:space="preserve">Each role includes:</w:t>
      </w:r>
    </w:p>
    <w:p>
      <w:pPr>
        <w:pStyle w:val="Compact"/>
        <w:numPr>
          <w:ilvl w:val="0"/>
          <w:numId w:val="1008"/>
        </w:numPr>
      </w:pPr>
      <w:r>
        <w:t xml:space="preserve">Purpose</w:t>
      </w:r>
    </w:p>
    <w:p>
      <w:pPr>
        <w:pStyle w:val="Compact"/>
        <w:numPr>
          <w:ilvl w:val="0"/>
          <w:numId w:val="1008"/>
        </w:numPr>
      </w:pPr>
      <w:r>
        <w:t xml:space="preserve">Boundary scope 🝚</w:t>
      </w:r>
    </w:p>
    <w:p>
      <w:pPr>
        <w:pStyle w:val="Compact"/>
        <w:numPr>
          <w:ilvl w:val="0"/>
          <w:numId w:val="1008"/>
        </w:numPr>
      </w:pPr>
      <w:r>
        <w:t xml:space="preserve">Authority tier</w:t>
      </w:r>
    </w:p>
    <w:p>
      <w:pPr>
        <w:pStyle w:val="Compact"/>
        <w:numPr>
          <w:ilvl w:val="0"/>
          <w:numId w:val="1008"/>
        </w:numPr>
      </w:pPr>
      <w:r>
        <w:t xml:space="preserve">Permitted actions</w:t>
      </w:r>
    </w:p>
    <w:p>
      <w:pPr>
        <w:pStyle w:val="Compact"/>
        <w:numPr>
          <w:ilvl w:val="0"/>
          <w:numId w:val="1008"/>
        </w:numPr>
      </w:pPr>
      <w:r>
        <w:t xml:space="preserve">Required inputs</w:t>
      </w:r>
    </w:p>
    <w:p>
      <w:pPr>
        <w:pStyle w:val="Compact"/>
        <w:numPr>
          <w:ilvl w:val="0"/>
          <w:numId w:val="1008"/>
        </w:numPr>
      </w:pPr>
      <w:r>
        <w:t xml:space="preserve">Required outputs</w:t>
      </w:r>
    </w:p>
    <w:p>
      <w:pPr>
        <w:pStyle w:val="Compact"/>
        <w:numPr>
          <w:ilvl w:val="0"/>
          <w:numId w:val="1008"/>
        </w:numPr>
      </w:pPr>
      <w:r>
        <w:t xml:space="preserve">Escalation targets</w:t>
      </w:r>
    </w:p>
    <w:p>
      <w:pPr>
        <w:pStyle w:val="Compact"/>
        <w:numPr>
          <w:ilvl w:val="0"/>
          <w:numId w:val="1008"/>
        </w:numPr>
      </w:pPr>
      <w:r>
        <w:t xml:space="preserve">Exposure limits</w:t>
      </w:r>
    </w:p>
    <w:p>
      <w:pPr>
        <w:pStyle w:val="FirstParagraph"/>
      </w:pPr>
      <w:r>
        <w:t xml:space="preserve">A role does not contain compiled logic.</w:t>
      </w:r>
      <w:r>
        <w:t xml:space="preserve"> </w:t>
      </w:r>
      <w:r>
        <w:t xml:space="preserve">It contains constraints and expectations.</w:t>
      </w:r>
    </w:p>
    <w:p>
      <w:r>
        <w:pict>
          <v:rect style="width:0;height:1.5pt" o:hralign="center" o:hrstd="t" o:hr="t"/>
        </w:pict>
      </w:r>
    </w:p>
    <w:bookmarkEnd w:id="27"/>
    <w:bookmarkStart w:id="28" w:name="role-workers-human-or-ai"/>
    <w:p>
      <w:pPr>
        <w:pStyle w:val="Heading2"/>
      </w:pPr>
      <w:r>
        <w:t xml:space="preserve">5. Role Workers (Human or AI)</w:t>
      </w:r>
    </w:p>
    <w:p>
      <w:pPr>
        <w:pStyle w:val="FirstParagraph"/>
      </w:pPr>
      <w:r>
        <w:t xml:space="preserve">A worker instance consists of:</w:t>
      </w:r>
    </w:p>
    <w:p>
      <w:pPr>
        <w:pStyle w:val="BodyText"/>
      </w:pPr>
      <w:r>
        <w:t xml:space="preserve">Role + Identity + Permission Token + Runtime Context</w:t>
      </w:r>
    </w:p>
    <w:p>
      <w:pPr>
        <w:pStyle w:val="BodyText"/>
      </w:pPr>
      <w:r>
        <w:t xml:space="preserve">Workers:</w:t>
      </w:r>
    </w:p>
    <w:p>
      <w:pPr>
        <w:pStyle w:val="Compact"/>
        <w:numPr>
          <w:ilvl w:val="0"/>
          <w:numId w:val="1009"/>
        </w:numPr>
      </w:pPr>
      <w:r>
        <w:t xml:space="preserve">Receive an event</w:t>
      </w:r>
    </w:p>
    <w:p>
      <w:pPr>
        <w:pStyle w:val="Compact"/>
        <w:numPr>
          <w:ilvl w:val="0"/>
          <w:numId w:val="1009"/>
        </w:numPr>
      </w:pPr>
      <w:r>
        <w:t xml:space="preserve">Load governing packet</w:t>
      </w:r>
    </w:p>
    <w:p>
      <w:pPr>
        <w:pStyle w:val="Compact"/>
        <w:numPr>
          <w:ilvl w:val="0"/>
          <w:numId w:val="1009"/>
        </w:numPr>
      </w:pPr>
      <w:r>
        <w:t xml:space="preserve">Execute playbook interpretation</w:t>
      </w:r>
    </w:p>
    <w:p>
      <w:pPr>
        <w:pStyle w:val="Compact"/>
        <w:numPr>
          <w:ilvl w:val="0"/>
          <w:numId w:val="1009"/>
        </w:numPr>
      </w:pPr>
      <w:r>
        <w:t xml:space="preserve">Call tools (within permissions)</w:t>
      </w:r>
    </w:p>
    <w:p>
      <w:pPr>
        <w:pStyle w:val="Compact"/>
        <w:numPr>
          <w:ilvl w:val="0"/>
          <w:numId w:val="1009"/>
        </w:numPr>
      </w:pPr>
      <w:r>
        <w:t xml:space="preserve">Emit new events</w:t>
      </w:r>
    </w:p>
    <w:p>
      <w:pPr>
        <w:pStyle w:val="Compact"/>
        <w:numPr>
          <w:ilvl w:val="0"/>
          <w:numId w:val="1009"/>
        </w:numPr>
      </w:pPr>
      <w:r>
        <w:t xml:space="preserve">Produce decision artifact</w:t>
      </w:r>
    </w:p>
    <w:p>
      <w:pPr>
        <w:pStyle w:val="FirstParagraph"/>
      </w:pPr>
      <w:r>
        <w:t xml:space="preserve">Humans and AI operate under the same role contract.</w:t>
      </w:r>
    </w:p>
    <w:p>
      <w:r>
        <w:pict>
          <v:rect style="width:0;height:1.5pt" o:hralign="center" o:hrstd="t" o:hr="t"/>
        </w:pict>
      </w:r>
    </w:p>
    <w:bookmarkEnd w:id="28"/>
    <w:bookmarkStart w:id="29" w:name="governing-packet"/>
    <w:p>
      <w:pPr>
        <w:pStyle w:val="Heading2"/>
      </w:pPr>
      <w:r>
        <w:t xml:space="preserve">6. Governing Packet</w:t>
      </w:r>
    </w:p>
    <w:p>
      <w:pPr>
        <w:pStyle w:val="FirstParagraph"/>
      </w:pPr>
      <w:r>
        <w:t xml:space="preserve">For each execution context, a governing packet is assembled: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0"/>
        </w:numPr>
      </w:pPr>
      <w:r>
        <w:t xml:space="preserve">Applicable policy artifacts</w:t>
      </w:r>
    </w:p>
    <w:p>
      <w:pPr>
        <w:pStyle w:val="Compact"/>
        <w:numPr>
          <w:ilvl w:val="0"/>
          <w:numId w:val="1010"/>
        </w:numPr>
      </w:pPr>
      <w:r>
        <w:t xml:space="preserve">Client overlays</w:t>
      </w:r>
    </w:p>
    <w:p>
      <w:pPr>
        <w:pStyle w:val="Compact"/>
        <w:numPr>
          <w:ilvl w:val="0"/>
          <w:numId w:val="1010"/>
        </w:numPr>
      </w:pPr>
      <w:r>
        <w:t xml:space="preserve">Regulatory constraints</w:t>
      </w:r>
    </w:p>
    <w:p>
      <w:pPr>
        <w:pStyle w:val="Compact"/>
        <w:numPr>
          <w:ilvl w:val="0"/>
          <w:numId w:val="1010"/>
        </w:numPr>
      </w:pPr>
      <w:r>
        <w:t xml:space="preserve">Effective date context</w:t>
      </w:r>
    </w:p>
    <w:p>
      <w:pPr>
        <w:pStyle w:val="Compact"/>
        <w:numPr>
          <w:ilvl w:val="0"/>
          <w:numId w:val="1010"/>
        </w:numPr>
      </w:pPr>
      <w:r>
        <w:t xml:space="preserve">Authority ordering</w:t>
      </w:r>
    </w:p>
    <w:p>
      <w:pPr>
        <w:pStyle w:val="Compact"/>
        <w:numPr>
          <w:ilvl w:val="0"/>
          <w:numId w:val="1010"/>
        </w:numPr>
      </w:pPr>
      <w:r>
        <w:t xml:space="preserve">Boundary scope 🝚</w:t>
      </w:r>
    </w:p>
    <w:p>
      <w:pPr>
        <w:pStyle w:val="FirstParagraph"/>
      </w:pPr>
      <w:r>
        <w:t xml:space="preserve">The packet is the interpretive bundle for that execution.</w:t>
      </w:r>
    </w:p>
    <w:p>
      <w:r>
        <w:pict>
          <v:rect style="width:0;height:1.5pt" o:hralign="center" o:hrstd="t" o:hr="t"/>
        </w:pict>
      </w:r>
    </w:p>
    <w:bookmarkEnd w:id="29"/>
    <w:bookmarkStart w:id="30" w:name="decision-artifacts"/>
    <w:p>
      <w:pPr>
        <w:pStyle w:val="Heading2"/>
      </w:pPr>
      <w:r>
        <w:t xml:space="preserve">7. Decision Artifacts</w:t>
      </w:r>
    </w:p>
    <w:p>
      <w:pPr>
        <w:pStyle w:val="FirstParagraph"/>
      </w:pPr>
      <w:r>
        <w:t xml:space="preserve">Every material action produces a durable artifact containing:</w:t>
      </w:r>
    </w:p>
    <w:p>
      <w:pPr>
        <w:pStyle w:val="Compact"/>
        <w:numPr>
          <w:ilvl w:val="0"/>
          <w:numId w:val="1011"/>
        </w:numPr>
      </w:pPr>
      <w:r>
        <w:t xml:space="preserve">Role identity</w:t>
      </w:r>
    </w:p>
    <w:p>
      <w:pPr>
        <w:pStyle w:val="Compact"/>
        <w:numPr>
          <w:ilvl w:val="0"/>
          <w:numId w:val="1011"/>
        </w:numPr>
      </w:pPr>
      <w:r>
        <w:t xml:space="preserve">Inputs used</w:t>
      </w:r>
    </w:p>
    <w:p>
      <w:pPr>
        <w:pStyle w:val="Compact"/>
        <w:numPr>
          <w:ilvl w:val="0"/>
          <w:numId w:val="1011"/>
        </w:numPr>
      </w:pPr>
      <w:r>
        <w:t xml:space="preserve">Governing citations</w:t>
      </w:r>
    </w:p>
    <w:p>
      <w:pPr>
        <w:pStyle w:val="Compact"/>
        <w:numPr>
          <w:ilvl w:val="0"/>
          <w:numId w:val="1011"/>
        </w:numPr>
      </w:pPr>
      <w:r>
        <w:t xml:space="preserve">Boundary scope 🝚</w:t>
      </w:r>
    </w:p>
    <w:p>
      <w:pPr>
        <w:pStyle w:val="Compact"/>
        <w:numPr>
          <w:ilvl w:val="0"/>
          <w:numId w:val="1011"/>
        </w:numPr>
      </w:pPr>
      <w:r>
        <w:t xml:space="preserve">Effective date context</w:t>
      </w:r>
    </w:p>
    <w:p>
      <w:pPr>
        <w:pStyle w:val="Compact"/>
        <w:numPr>
          <w:ilvl w:val="0"/>
          <w:numId w:val="1011"/>
        </w:numPr>
      </w:pPr>
      <w:r>
        <w:t xml:space="preserve">Outputs produced</w:t>
      </w:r>
    </w:p>
    <w:p>
      <w:pPr>
        <w:pStyle w:val="Compact"/>
        <w:numPr>
          <w:ilvl w:val="0"/>
          <w:numId w:val="1011"/>
        </w:numPr>
      </w:pPr>
      <w:r>
        <w:t xml:space="preserve">Exceptions or overrides</w:t>
      </w:r>
    </w:p>
    <w:p>
      <w:pPr>
        <w:pStyle w:val="Compact"/>
        <w:numPr>
          <w:ilvl w:val="0"/>
          <w:numId w:val="1011"/>
        </w:numPr>
      </w:pPr>
      <w:r>
        <w:t xml:space="preserve">Timestamp</w:t>
      </w:r>
    </w:p>
    <w:p>
      <w:pPr>
        <w:pStyle w:val="FirstParagraph"/>
      </w:pPr>
      <w:r>
        <w:t xml:space="preserve">Decision artifacts enable:</w:t>
      </w:r>
    </w:p>
    <w:p>
      <w:pPr>
        <w:pStyle w:val="Compact"/>
        <w:numPr>
          <w:ilvl w:val="0"/>
          <w:numId w:val="1012"/>
        </w:numPr>
      </w:pPr>
      <w:r>
        <w:t xml:space="preserve">Audit</w:t>
      </w:r>
    </w:p>
    <w:p>
      <w:pPr>
        <w:pStyle w:val="Compact"/>
        <w:numPr>
          <w:ilvl w:val="0"/>
          <w:numId w:val="1012"/>
        </w:numPr>
      </w:pPr>
      <w:r>
        <w:t xml:space="preserve">Reversibility</w:t>
      </w:r>
    </w:p>
    <w:p>
      <w:pPr>
        <w:pStyle w:val="Compact"/>
        <w:numPr>
          <w:ilvl w:val="0"/>
          <w:numId w:val="1012"/>
        </w:numPr>
      </w:pPr>
      <w:r>
        <w:t xml:space="preserve">Drift detection</w:t>
      </w:r>
    </w:p>
    <w:p>
      <w:pPr>
        <w:pStyle w:val="Compact"/>
        <w:numPr>
          <w:ilvl w:val="0"/>
          <w:numId w:val="1012"/>
        </w:numPr>
      </w:pPr>
      <w:r>
        <w:t xml:space="preserve">Training data for refinement</w:t>
      </w:r>
    </w:p>
    <w:p>
      <w:r>
        <w:pict>
          <v:rect style="width:0;height:1.5pt" o:hralign="center" o:hrstd="t" o:hr="t"/>
        </w:pict>
      </w:r>
    </w:p>
    <w:bookmarkEnd w:id="30"/>
    <w:bookmarkStart w:id="35" w:name="caching-layers-optional-accelerators"/>
    <w:p>
      <w:pPr>
        <w:pStyle w:val="Heading2"/>
      </w:pPr>
      <w:r>
        <w:t xml:space="preserve">8. Caching Layers (Optional Accelerators)</w:t>
      </w:r>
    </w:p>
    <w:p>
      <w:pPr>
        <w:pStyle w:val="FirstParagraph"/>
      </w:pPr>
      <w:r>
        <w:t xml:space="preserve">Caching must preserve legibility.</w:t>
      </w:r>
    </w:p>
    <w:bookmarkStart w:id="31" w:name="layer-a-retrieval-cache"/>
    <w:p>
      <w:pPr>
        <w:pStyle w:val="Heading3"/>
      </w:pPr>
      <w:r>
        <w:t xml:space="preserve">Layer A – Retrieval Cache</w:t>
      </w:r>
    </w:p>
    <w:p>
      <w:pPr>
        <w:pStyle w:val="FirstParagraph"/>
      </w:pPr>
      <w:r>
        <w:t xml:space="preserve">Stores relevant artifact IDs for role + boundary 🝚 + time.</w:t>
      </w:r>
    </w:p>
    <w:bookmarkEnd w:id="31"/>
    <w:bookmarkStart w:id="32" w:name="layer-b-governing-packet-cache"/>
    <w:p>
      <w:pPr>
        <w:pStyle w:val="Heading3"/>
      </w:pPr>
      <w:r>
        <w:t xml:space="preserve">Layer B – Governing Packet Cache</w:t>
      </w:r>
    </w:p>
    <w:p>
      <w:pPr>
        <w:pStyle w:val="FirstParagraph"/>
      </w:pPr>
      <w:r>
        <w:t xml:space="preserve">Stores assembled artifact bundle.</w:t>
      </w:r>
    </w:p>
    <w:bookmarkEnd w:id="32"/>
    <w:bookmarkStart w:id="33" w:name="layer-c-interpretive-memo-cache"/>
    <w:p>
      <w:pPr>
        <w:pStyle w:val="Heading3"/>
      </w:pPr>
      <w:r>
        <w:t xml:space="preserve">Layer C – Interpretive Memo Cache</w:t>
      </w:r>
    </w:p>
    <w:p>
      <w:pPr>
        <w:pStyle w:val="FirstParagraph"/>
      </w:pPr>
      <w:r>
        <w:t xml:space="preserve">Stores human-readable application guidance derived from governing text.</w:t>
      </w:r>
    </w:p>
    <w:bookmarkEnd w:id="33"/>
    <w:bookmarkStart w:id="34" w:name="layer-d-tool-result-cache"/>
    <w:p>
      <w:pPr>
        <w:pStyle w:val="Heading3"/>
      </w:pPr>
      <w:r>
        <w:t xml:space="preserve">Layer D – Tool Result Cache</w:t>
      </w:r>
    </w:p>
    <w:p>
      <w:pPr>
        <w:pStyle w:val="FirstParagraph"/>
      </w:pPr>
      <w:r>
        <w:t xml:space="preserve">Stores reference data with TTL constraints.</w:t>
      </w:r>
    </w:p>
    <w:p>
      <w:pPr>
        <w:pStyle w:val="BodyText"/>
      </w:pPr>
      <w:r>
        <w:t xml:space="preserve">Caches must key on:</w:t>
      </w:r>
    </w:p>
    <w:p>
      <w:pPr>
        <w:pStyle w:val="Compact"/>
        <w:numPr>
          <w:ilvl w:val="0"/>
          <w:numId w:val="1013"/>
        </w:numPr>
      </w:pPr>
      <w:r>
        <w:t xml:space="preserve">Role</w:t>
      </w:r>
    </w:p>
    <w:p>
      <w:pPr>
        <w:pStyle w:val="Compact"/>
        <w:numPr>
          <w:ilvl w:val="0"/>
          <w:numId w:val="1013"/>
        </w:numPr>
      </w:pPr>
      <w:r>
        <w:t xml:space="preserve">Boundary 🝚</w:t>
      </w:r>
    </w:p>
    <w:p>
      <w:pPr>
        <w:pStyle w:val="Compact"/>
        <w:numPr>
          <w:ilvl w:val="0"/>
          <w:numId w:val="1013"/>
        </w:numPr>
      </w:pPr>
      <w:r>
        <w:t xml:space="preserve">Effective date</w:t>
      </w:r>
    </w:p>
    <w:p>
      <w:pPr>
        <w:pStyle w:val="Compact"/>
        <w:numPr>
          <w:ilvl w:val="0"/>
          <w:numId w:val="1013"/>
        </w:numPr>
      </w:pPr>
      <w:r>
        <w:t xml:space="preserve">Artifact versions</w:t>
      </w:r>
    </w:p>
    <w:p>
      <w:pPr>
        <w:pStyle w:val="Compact"/>
        <w:numPr>
          <w:ilvl w:val="0"/>
          <w:numId w:val="1013"/>
        </w:numPr>
      </w:pPr>
      <w:r>
        <w:t xml:space="preserve">Interpreter version</w:t>
      </w:r>
    </w:p>
    <w:p>
      <w:pPr>
        <w:pStyle w:val="FirstParagraph"/>
      </w:pPr>
      <w:r>
        <w:t xml:space="preserve">Invalidation triggers:</w:t>
      </w:r>
    </w:p>
    <w:p>
      <w:pPr>
        <w:pStyle w:val="Compact"/>
        <w:numPr>
          <w:ilvl w:val="0"/>
          <w:numId w:val="1014"/>
        </w:numPr>
      </w:pPr>
      <w:r>
        <w:t xml:space="preserve">Artifact version change</w:t>
      </w:r>
    </w:p>
    <w:p>
      <w:pPr>
        <w:pStyle w:val="Compact"/>
        <w:numPr>
          <w:ilvl w:val="0"/>
          <w:numId w:val="1014"/>
        </w:numPr>
      </w:pPr>
      <w:r>
        <w:t xml:space="preserve">Authority ordering change</w:t>
      </w:r>
    </w:p>
    <w:p>
      <w:pPr>
        <w:pStyle w:val="Compact"/>
        <w:numPr>
          <w:ilvl w:val="0"/>
          <w:numId w:val="1014"/>
        </w:numPr>
      </w:pPr>
      <w:r>
        <w:t xml:space="preserve">Boundary mapping change</w:t>
      </w:r>
    </w:p>
    <w:p>
      <w:pPr>
        <w:pStyle w:val="Compact"/>
        <w:numPr>
          <w:ilvl w:val="0"/>
          <w:numId w:val="1014"/>
        </w:numPr>
      </w:pPr>
      <w:r>
        <w:t xml:space="preserve">Interpreter update</w:t>
      </w:r>
    </w:p>
    <w:p>
      <w:pPr>
        <w:pStyle w:val="Compact"/>
        <w:numPr>
          <w:ilvl w:val="0"/>
          <w:numId w:val="1014"/>
        </w:numPr>
      </w:pPr>
      <w:r>
        <w:t xml:space="preserve">Effective date transition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afety-model"/>
    <w:p>
      <w:pPr>
        <w:pStyle w:val="Heading2"/>
      </w:pPr>
      <w:r>
        <w:t xml:space="preserve">9. Safety Model</w:t>
      </w:r>
    </w:p>
    <w:p>
      <w:pPr>
        <w:pStyle w:val="FirstParagraph"/>
      </w:pPr>
      <w:r>
        <w:t xml:space="preserve">Safety derives from:</w:t>
      </w:r>
    </w:p>
    <w:p>
      <w:pPr>
        <w:pStyle w:val="Compact"/>
        <w:numPr>
          <w:ilvl w:val="0"/>
          <w:numId w:val="1015"/>
        </w:numPr>
      </w:pPr>
      <w:r>
        <w:t xml:space="preserve">Role-scoped permissions</w:t>
      </w:r>
    </w:p>
    <w:p>
      <w:pPr>
        <w:pStyle w:val="Compact"/>
        <w:numPr>
          <w:ilvl w:val="0"/>
          <w:numId w:val="1015"/>
        </w:numPr>
      </w:pPr>
      <w:r>
        <w:t xml:space="preserve">Structural boundary 🝚 enforcement</w:t>
      </w:r>
    </w:p>
    <w:p>
      <w:pPr>
        <w:pStyle w:val="Compact"/>
        <w:numPr>
          <w:ilvl w:val="0"/>
          <w:numId w:val="1015"/>
        </w:numPr>
      </w:pPr>
      <w:r>
        <w:t xml:space="preserve">Citation requirements</w:t>
      </w:r>
    </w:p>
    <w:p>
      <w:pPr>
        <w:pStyle w:val="Compact"/>
        <w:numPr>
          <w:ilvl w:val="0"/>
          <w:numId w:val="1015"/>
        </w:numPr>
      </w:pPr>
      <w:r>
        <w:t xml:space="preserve">Authority ordering</w:t>
      </w:r>
    </w:p>
    <w:p>
      <w:pPr>
        <w:pStyle w:val="Compact"/>
        <w:numPr>
          <w:ilvl w:val="0"/>
          <w:numId w:val="1015"/>
        </w:numPr>
      </w:pPr>
      <w:r>
        <w:t xml:space="preserve">Escalation pathways</w:t>
      </w:r>
    </w:p>
    <w:p>
      <w:pPr>
        <w:pStyle w:val="Compact"/>
        <w:numPr>
          <w:ilvl w:val="0"/>
          <w:numId w:val="1015"/>
        </w:numPr>
      </w:pPr>
      <w:r>
        <w:t xml:space="preserve">Event logging</w:t>
      </w:r>
    </w:p>
    <w:p>
      <w:pPr>
        <w:pStyle w:val="FirstParagraph"/>
      </w:pPr>
      <w:r>
        <w:t xml:space="preserve">No worker may expand its own scope.</w:t>
      </w:r>
    </w:p>
    <w:p>
      <w:r>
        <w:pict>
          <v:rect style="width:0;height:1.5pt" o:hralign="center" o:hrstd="t" o:hr="t"/>
        </w:pict>
      </w:r>
    </w:p>
    <w:bookmarkEnd w:id="36"/>
    <w:bookmarkStart w:id="37" w:name="humanai-interoperability"/>
    <w:p>
      <w:pPr>
        <w:pStyle w:val="Heading2"/>
      </w:pPr>
      <w:r>
        <w:t xml:space="preserve">10. Human–AI Interoperability</w:t>
      </w:r>
    </w:p>
    <w:p>
      <w:pPr>
        <w:pStyle w:val="FirstParagraph"/>
      </w:pPr>
      <w:r>
        <w:t xml:space="preserve">Humans are first-class workers.</w:t>
      </w:r>
    </w:p>
    <w:p>
      <w:pPr>
        <w:pStyle w:val="BodyText"/>
      </w:pPr>
      <w:r>
        <w:t xml:space="preserve">If ambiguity exceeds threshold:</w:t>
      </w:r>
    </w:p>
    <w:p>
      <w:pPr>
        <w:pStyle w:val="Compact"/>
        <w:numPr>
          <w:ilvl w:val="0"/>
          <w:numId w:val="1016"/>
        </w:numPr>
      </w:pPr>
      <w:r>
        <w:t xml:space="preserve">Emit exception event</w:t>
      </w:r>
    </w:p>
    <w:p>
      <w:pPr>
        <w:pStyle w:val="Compact"/>
        <w:numPr>
          <w:ilvl w:val="0"/>
          <w:numId w:val="1016"/>
        </w:numPr>
      </w:pPr>
      <w:r>
        <w:t xml:space="preserve">Route to human role-holder</w:t>
      </w:r>
    </w:p>
    <w:p>
      <w:pPr>
        <w:pStyle w:val="Compact"/>
        <w:numPr>
          <w:ilvl w:val="0"/>
          <w:numId w:val="1016"/>
        </w:numPr>
      </w:pPr>
      <w:r>
        <w:t xml:space="preserve">Human resolution becomes new decision artifact</w:t>
      </w:r>
    </w:p>
    <w:p>
      <w:pPr>
        <w:pStyle w:val="FirstParagraph"/>
      </w:pPr>
      <w:r>
        <w:t xml:space="preserve">This creates organizational case law.</w:t>
      </w:r>
    </w:p>
    <w:p>
      <w:r>
        <w:pict>
          <v:rect style="width:0;height:1.5pt" o:hralign="center" o:hrstd="t" o:hr="t"/>
        </w:pict>
      </w:r>
    </w:p>
    <w:bookmarkEnd w:id="37"/>
    <w:bookmarkStart w:id="38" w:name="minimal-implementation-components"/>
    <w:p>
      <w:pPr>
        <w:pStyle w:val="Heading2"/>
      </w:pPr>
      <w:r>
        <w:t xml:space="preserve">11. Minimal Implementation Components</w:t>
      </w:r>
    </w:p>
    <w:p>
      <w:pPr>
        <w:pStyle w:val="Compact"/>
        <w:numPr>
          <w:ilvl w:val="0"/>
          <w:numId w:val="1017"/>
        </w:numPr>
      </w:pPr>
      <w:r>
        <w:t xml:space="preserve">Artifact Store (versioned text)</w:t>
      </w:r>
    </w:p>
    <w:p>
      <w:pPr>
        <w:pStyle w:val="Compact"/>
        <w:numPr>
          <w:ilvl w:val="0"/>
          <w:numId w:val="1017"/>
        </w:numPr>
      </w:pPr>
      <w:r>
        <w:t xml:space="preserve">Event Bus</w:t>
      </w:r>
    </w:p>
    <w:p>
      <w:pPr>
        <w:pStyle w:val="Compact"/>
        <w:numPr>
          <w:ilvl w:val="0"/>
          <w:numId w:val="1017"/>
        </w:numPr>
      </w:pPr>
      <w:r>
        <w:t xml:space="preserve">Orchestrator</w:t>
      </w:r>
    </w:p>
    <w:p>
      <w:pPr>
        <w:pStyle w:val="Compact"/>
        <w:numPr>
          <w:ilvl w:val="0"/>
          <w:numId w:val="1017"/>
        </w:numPr>
      </w:pPr>
      <w:r>
        <w:t xml:space="preserve">Role Workers</w:t>
      </w:r>
    </w:p>
    <w:p>
      <w:pPr>
        <w:pStyle w:val="Compact"/>
        <w:numPr>
          <w:ilvl w:val="0"/>
          <w:numId w:val="1017"/>
        </w:numPr>
      </w:pPr>
      <w:r>
        <w:t xml:space="preserve">Permission System</w:t>
      </w:r>
    </w:p>
    <w:p>
      <w:pPr>
        <w:pStyle w:val="Compact"/>
        <w:numPr>
          <w:ilvl w:val="0"/>
          <w:numId w:val="1017"/>
        </w:numPr>
      </w:pPr>
      <w:r>
        <w:t xml:space="preserve">Audit Log / Decision Artifact Store</w:t>
      </w:r>
    </w:p>
    <w:p>
      <w:pPr>
        <w:pStyle w:val="Compact"/>
        <w:numPr>
          <w:ilvl w:val="0"/>
          <w:numId w:val="1017"/>
        </w:numPr>
      </w:pPr>
      <w:r>
        <w:t xml:space="preserve">Optional Vector Store</w:t>
      </w:r>
    </w:p>
    <w:p>
      <w:pPr>
        <w:pStyle w:val="Compact"/>
        <w:numPr>
          <w:ilvl w:val="0"/>
          <w:numId w:val="1017"/>
        </w:numPr>
      </w:pPr>
      <w:r>
        <w:t xml:space="preserve">Optional Cache Layer</w:t>
      </w:r>
    </w:p>
    <w:p>
      <w:r>
        <w:pict>
          <v:rect style="width:0;height:1.5pt" o:hralign="center" o:hrstd="t" o:hr="t"/>
        </w:pict>
      </w:r>
    </w:p>
    <w:bookmarkEnd w:id="38"/>
    <w:bookmarkStart w:id="39" w:name="evolution-path"/>
    <w:p>
      <w:pPr>
        <w:pStyle w:val="Heading2"/>
      </w:pPr>
      <w:r>
        <w:t xml:space="preserve">12. Evolution Path</w:t>
      </w:r>
    </w:p>
    <w:p>
      <w:pPr>
        <w:pStyle w:val="FirstParagraph"/>
      </w:pPr>
      <w:r>
        <w:t xml:space="preserve">Phase 1: Text-first governance + event spine</w:t>
      </w:r>
      <w:r>
        <w:br/>
      </w:r>
      <w:r>
        <w:t xml:space="preserve">Phase 2: Role-specific workers</w:t>
      </w:r>
      <w:r>
        <w:br/>
      </w:r>
      <w:r>
        <w:t xml:space="preserve">Phase 3: Interpretive memo library</w:t>
      </w:r>
      <w:r>
        <w:br/>
      </w:r>
      <w:r>
        <w:t xml:space="preserve">Phase 4: Deterministic micro-services for stable steps</w:t>
      </w:r>
      <w:r>
        <w:br/>
      </w:r>
      <w:r>
        <w:t xml:space="preserve">Phase 5: Policy gateway with signed context tokens</w:t>
      </w:r>
    </w:p>
    <w:p>
      <w:pPr>
        <w:pStyle w:val="BodyText"/>
      </w:pPr>
      <w:r>
        <w:t xml:space="preserve">Optimization never replaces constitutional legibility.</w:t>
      </w:r>
    </w:p>
    <w:p>
      <w:r>
        <w:pict>
          <v:rect style="width:0;height:1.5pt" o:hralign="center" o:hrstd="t" o:hr="t"/>
        </w:pict>
      </w:r>
    </w:p>
    <w:bookmarkEnd w:id="39"/>
    <w:bookmarkStart w:id="40" w:name="design-mantra"/>
    <w:p>
      <w:pPr>
        <w:pStyle w:val="Heading2"/>
      </w:pPr>
      <w:r>
        <w:t xml:space="preserve">13. Design Mantra</w:t>
      </w:r>
    </w:p>
    <w:p>
      <w:pPr>
        <w:pStyle w:val="FirstParagraph"/>
      </w:pPr>
      <w:r>
        <w:t xml:space="preserve">Visibility is a safety feature.</w:t>
      </w:r>
    </w:p>
    <w:p>
      <w:pPr>
        <w:pStyle w:val="BodyText"/>
      </w:pPr>
      <w:r>
        <w:t xml:space="preserve">Text is law.</w:t>
      </w:r>
      <w:r>
        <w:br/>
      </w:r>
      <w:r>
        <w:t xml:space="preserve">Roles channel power.</w:t>
      </w:r>
      <w:r>
        <w:br/>
      </w:r>
      <w:r>
        <w:t xml:space="preserve">Boundaries 🝚 constrain scope.</w:t>
      </w:r>
      <w:r>
        <w:br/>
      </w:r>
      <w:r>
        <w:t xml:space="preserve">Events structure time.</w:t>
      </w:r>
      <w:r>
        <w:br/>
      </w:r>
      <w:r>
        <w:t xml:space="preserve">Artifacts preserve truth.</w:t>
      </w:r>
    </w:p>
    <w:p>
      <w:pPr>
        <w:pStyle w:val="BodyText"/>
      </w:pPr>
      <w:r>
        <w:t xml:space="preserve">This is the Semantic Orchestration Fabric.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2026-02-19T01:54:57Z</dcterms:created>
  <dcterms:modified xsi:type="dcterms:W3CDTF">2026-02-19T01:54:57Z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