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he-ai-witness"/>
    <w:p>
      <w:pPr>
        <w:pStyle w:val="Heading1"/>
      </w:pPr>
      <w:r>
        <w:t xml:space="preserve">The AI Witness</w:t>
      </w:r>
    </w:p>
    <w:bookmarkStart w:id="20" w:name="a-local-role-aware-organizational-mirror"/>
    <w:p>
      <w:pPr>
        <w:pStyle w:val="Heading2"/>
      </w:pPr>
      <w:r>
        <w:t xml:space="preserve">A Local, Role-Aware Organizational Mirror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AI Witness is a firm-level, local-first observability system that provides structured visibility into how an organization actually operates.</w:t>
      </w:r>
    </w:p>
    <w:p>
      <w:pPr>
        <w:pStyle w:val="BodyText"/>
      </w:pPr>
      <w:r>
        <w:t xml:space="preserve">It does not execute work.</w:t>
      </w:r>
      <w:r>
        <w:t xml:space="preserve"> </w:t>
      </w:r>
      <w:r>
        <w:t xml:space="preserve">It does not change data.</w:t>
      </w:r>
      <w:r>
        <w:t xml:space="preserve"> </w:t>
      </w:r>
      <w:r>
        <w:t xml:space="preserve">It does not override human authority.</w:t>
      </w:r>
    </w:p>
    <w:p>
      <w:pPr>
        <w:pStyle w:val="BodyText"/>
      </w:pPr>
      <w:r>
        <w:t xml:space="preserve">It observes, interprets, and compresses organizational activity into clear, role-scoped insight.</w:t>
      </w:r>
    </w:p>
    <w:p>
      <w:pPr>
        <w:pStyle w:val="BodyText"/>
      </w:pPr>
      <w:r>
        <w:t xml:space="preserve">The Witness becomes a continuously running mirror of the firm’s operational reality.</w:t>
      </w:r>
    </w:p>
    <w:p>
      <w:r>
        <w:pict>
          <v:rect style="width:0;height:1.5pt" o:hralign="center" o:hrstd="t" o:hr="t"/>
        </w:pict>
      </w:r>
    </w:p>
    <w:bookmarkEnd w:id="21"/>
    <w:bookmarkStart w:id="22" w:name="core-purpose"/>
    <w:p>
      <w:pPr>
        <w:pStyle w:val="Heading2"/>
      </w:pPr>
      <w:r>
        <w:t xml:space="preserve">Core Purpose</w:t>
      </w:r>
    </w:p>
    <w:p>
      <w:pPr>
        <w:pStyle w:val="FirstParagraph"/>
      </w:pPr>
      <w:r>
        <w:t xml:space="preserve">The AI Witness exists to:</w:t>
      </w:r>
    </w:p>
    <w:p>
      <w:pPr>
        <w:pStyle w:val="Compact"/>
        <w:numPr>
          <w:ilvl w:val="0"/>
          <w:numId w:val="1001"/>
        </w:numPr>
      </w:pPr>
      <w:r>
        <w:t xml:space="preserve">Illuminate how policies are applied in practice</w:t>
      </w:r>
    </w:p>
    <w:p>
      <w:pPr>
        <w:pStyle w:val="Compact"/>
        <w:numPr>
          <w:ilvl w:val="0"/>
          <w:numId w:val="1001"/>
        </w:numPr>
      </w:pPr>
      <w:r>
        <w:t xml:space="preserve">Detect drift between written rules and lived behavior</w:t>
      </w:r>
    </w:p>
    <w:p>
      <w:pPr>
        <w:pStyle w:val="Compact"/>
        <w:numPr>
          <w:ilvl w:val="0"/>
          <w:numId w:val="1001"/>
        </w:numPr>
      </w:pPr>
      <w:r>
        <w:t xml:space="preserve">Surface exceptions, escalations, and anomalies</w:t>
      </w:r>
    </w:p>
    <w:p>
      <w:pPr>
        <w:pStyle w:val="Compact"/>
        <w:numPr>
          <w:ilvl w:val="0"/>
          <w:numId w:val="1001"/>
        </w:numPr>
      </w:pPr>
      <w:r>
        <w:t xml:space="preserve">Provide role-based visibility into operations</w:t>
      </w:r>
    </w:p>
    <w:p>
      <w:pPr>
        <w:pStyle w:val="Compact"/>
        <w:numPr>
          <w:ilvl w:val="0"/>
          <w:numId w:val="1001"/>
        </w:numPr>
      </w:pPr>
      <w:r>
        <w:t xml:space="preserve">Preserve institutional memory</w:t>
      </w:r>
    </w:p>
    <w:p>
      <w:pPr>
        <w:pStyle w:val="Compact"/>
        <w:numPr>
          <w:ilvl w:val="0"/>
          <w:numId w:val="1001"/>
        </w:numPr>
      </w:pPr>
      <w:r>
        <w:t xml:space="preserve">Increase delegation confidence</w:t>
      </w:r>
    </w:p>
    <w:p>
      <w:pPr>
        <w:pStyle w:val="FirstParagraph"/>
      </w:pPr>
      <w:r>
        <w:t xml:space="preserve">It is governance observability, not automation.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witness-sees"/>
    <w:p>
      <w:pPr>
        <w:pStyle w:val="Heading2"/>
      </w:pPr>
      <w:r>
        <w:t xml:space="preserve">What the Witness Sees</w:t>
      </w:r>
    </w:p>
    <w:p>
      <w:pPr>
        <w:pStyle w:val="FirstParagraph"/>
      </w:pPr>
      <w:r>
        <w:t xml:space="preserve">The Witness has read-only access to:</w:t>
      </w:r>
    </w:p>
    <w:p>
      <w:pPr>
        <w:pStyle w:val="Compact"/>
        <w:numPr>
          <w:ilvl w:val="0"/>
          <w:numId w:val="1002"/>
        </w:numPr>
      </w:pPr>
      <w:r>
        <w:t xml:space="preserve">Operational events (e.g., invoice received, approval granted, entry posted)</w:t>
      </w:r>
    </w:p>
    <w:p>
      <w:pPr>
        <w:pStyle w:val="Compact"/>
        <w:numPr>
          <w:ilvl w:val="0"/>
          <w:numId w:val="1002"/>
        </w:numPr>
      </w:pPr>
      <w:r>
        <w:t xml:space="preserve">Decision records and metadata</w:t>
      </w:r>
    </w:p>
    <w:p>
      <w:pPr>
        <w:pStyle w:val="Compact"/>
        <w:numPr>
          <w:ilvl w:val="0"/>
          <w:numId w:val="1002"/>
        </w:numPr>
      </w:pPr>
      <w:r>
        <w:t xml:space="preserve">Role assignments and authority boundaries</w:t>
      </w:r>
    </w:p>
    <w:p>
      <w:pPr>
        <w:pStyle w:val="Compact"/>
        <w:numPr>
          <w:ilvl w:val="0"/>
          <w:numId w:val="1002"/>
        </w:numPr>
      </w:pPr>
      <w:r>
        <w:t xml:space="preserve">Policy and procedure artifacts (versioned text)</w:t>
      </w:r>
    </w:p>
    <w:p>
      <w:pPr>
        <w:pStyle w:val="Compact"/>
        <w:numPr>
          <w:ilvl w:val="0"/>
          <w:numId w:val="1002"/>
        </w:numPr>
      </w:pPr>
      <w:r>
        <w:t xml:space="preserve">Escalation patterns</w:t>
      </w:r>
    </w:p>
    <w:p>
      <w:pPr>
        <w:pStyle w:val="FirstParagraph"/>
      </w:pPr>
      <w:r>
        <w:t xml:space="preserve">It prefers structured metadata and artifact references over raw document duplication.</w:t>
      </w:r>
    </w:p>
    <w:p>
      <w:pPr>
        <w:pStyle w:val="BodyText"/>
      </w:pPr>
      <w:r>
        <w:t xml:space="preserve">Full financial data remains local by default.</w:t>
      </w:r>
    </w:p>
    <w:p>
      <w:r>
        <w:pict>
          <v:rect style="width:0;height:1.5pt" o:hralign="center" o:hrstd="t" o:hr="t"/>
        </w:pict>
      </w:r>
    </w:p>
    <w:bookmarkEnd w:id="23"/>
    <w:bookmarkStart w:id="24" w:name="what-the-witness-produces"/>
    <w:p>
      <w:pPr>
        <w:pStyle w:val="Heading2"/>
      </w:pPr>
      <w:r>
        <w:t xml:space="preserve">What the Witness Produces</w:t>
      </w:r>
    </w:p>
    <w:p>
      <w:pPr>
        <w:pStyle w:val="FirstParagraph"/>
      </w:pPr>
      <w:r>
        <w:t xml:space="preserve">The Witness generates:</w:t>
      </w:r>
    </w:p>
    <w:p>
      <w:pPr>
        <w:pStyle w:val="Compact"/>
        <w:numPr>
          <w:ilvl w:val="0"/>
          <w:numId w:val="1003"/>
        </w:numPr>
      </w:pPr>
      <w:r>
        <w:t xml:space="preserve">Narrative summaries of operational activity</w:t>
      </w:r>
    </w:p>
    <w:p>
      <w:pPr>
        <w:pStyle w:val="Compact"/>
        <w:numPr>
          <w:ilvl w:val="0"/>
          <w:numId w:val="1003"/>
        </w:numPr>
      </w:pPr>
      <w:r>
        <w:t xml:space="preserve">Policy citation mapping for decisions</w:t>
      </w:r>
    </w:p>
    <w:p>
      <w:pPr>
        <w:pStyle w:val="Compact"/>
        <w:numPr>
          <w:ilvl w:val="0"/>
          <w:numId w:val="1003"/>
        </w:numPr>
      </w:pPr>
      <w:r>
        <w:t xml:space="preserve">Drift detection signals</w:t>
      </w:r>
    </w:p>
    <w:p>
      <w:pPr>
        <w:pStyle w:val="Compact"/>
        <w:numPr>
          <w:ilvl w:val="0"/>
          <w:numId w:val="1003"/>
        </w:numPr>
      </w:pPr>
      <w:r>
        <w:t xml:space="preserve">Exception frequency analysis</w:t>
      </w:r>
    </w:p>
    <w:p>
      <w:pPr>
        <w:pStyle w:val="Compact"/>
        <w:numPr>
          <w:ilvl w:val="0"/>
          <w:numId w:val="1003"/>
        </w:numPr>
      </w:pPr>
      <w:r>
        <w:t xml:space="preserve">Escalation heatmaps</w:t>
      </w:r>
    </w:p>
    <w:p>
      <w:pPr>
        <w:pStyle w:val="Compact"/>
        <w:numPr>
          <w:ilvl w:val="0"/>
          <w:numId w:val="1003"/>
        </w:numPr>
      </w:pPr>
      <w:r>
        <w:t xml:space="preserve">Role boundary overlap indicators</w:t>
      </w:r>
    </w:p>
    <w:p>
      <w:pPr>
        <w:pStyle w:val="Compact"/>
        <w:numPr>
          <w:ilvl w:val="0"/>
          <w:numId w:val="1003"/>
        </w:numPr>
      </w:pPr>
      <w:r>
        <w:t xml:space="preserve">Risk trend summaries</w:t>
      </w:r>
    </w:p>
    <w:p>
      <w:pPr>
        <w:pStyle w:val="FirstParagraph"/>
      </w:pPr>
      <w:r>
        <w:t xml:space="preserve">Every output is role-compressed.</w:t>
      </w:r>
    </w:p>
    <w:p>
      <w:r>
        <w:pict>
          <v:rect style="width:0;height:1.5pt" o:hralign="center" o:hrstd="t" o:hr="t"/>
        </w:pict>
      </w:r>
    </w:p>
    <w:bookmarkEnd w:id="24"/>
    <w:bookmarkStart w:id="25" w:name="role-based-compression"/>
    <w:p>
      <w:pPr>
        <w:pStyle w:val="Heading2"/>
      </w:pPr>
      <w:r>
        <w:t xml:space="preserve">Role-Based Compression</w:t>
      </w:r>
    </w:p>
    <w:p>
      <w:pPr>
        <w:pStyle w:val="FirstParagraph"/>
      </w:pPr>
      <w:r>
        <w:t xml:space="preserve">All insight is filtered according to the firm’s authority structure.</w:t>
      </w:r>
    </w:p>
    <w:p>
      <w:pPr>
        <w:pStyle w:val="BodyText"/>
      </w:pPr>
      <w:r>
        <w:t xml:space="preserve">Supervisors see activity within their span of control.</w:t>
      </w:r>
      <w:r>
        <w:t xml:space="preserve"> </w:t>
      </w:r>
      <w:r>
        <w:t xml:space="preserve">Managers see cross-team patterns.</w:t>
      </w:r>
      <w:r>
        <w:t xml:space="preserve"> </w:t>
      </w:r>
      <w:r>
        <w:t xml:space="preserve">Partners can see the entire firm — compressed to their chosen level of detail.</w:t>
      </w:r>
    </w:p>
    <w:p>
      <w:pPr>
        <w:pStyle w:val="BodyText"/>
      </w:pPr>
      <w:r>
        <w:t xml:space="preserve">Compression is adjustable.</w:t>
      </w:r>
    </w:p>
    <w:p>
      <w:pPr>
        <w:pStyle w:val="BodyText"/>
      </w:pPr>
      <w:r>
        <w:t xml:space="preserve">The same underlying truth is visible at multiple levels of zoom.</w:t>
      </w:r>
    </w:p>
    <w:p>
      <w:r>
        <w:pict>
          <v:rect style="width:0;height:1.5pt" o:hralign="center" o:hrstd="t" o:hr="t"/>
        </w:pict>
      </w:r>
    </w:p>
    <w:bookmarkEnd w:id="25"/>
    <w:bookmarkStart w:id="32" w:name="benefits"/>
    <w:p>
      <w:pPr>
        <w:pStyle w:val="Heading2"/>
      </w:pPr>
      <w:r>
        <w:t xml:space="preserve">Benefits</w:t>
      </w:r>
    </w:p>
    <w:bookmarkStart w:id="26" w:name="continuous-visibility"/>
    <w:p>
      <w:pPr>
        <w:pStyle w:val="Heading3"/>
      </w:pPr>
      <w:r>
        <w:t xml:space="preserve">1. Continuous Visibility</w:t>
      </w:r>
    </w:p>
    <w:p>
      <w:pPr>
        <w:pStyle w:val="FirstParagraph"/>
      </w:pPr>
      <w:r>
        <w:t xml:space="preserve">Leaders gain awareness without reading every artifact manually.</w:t>
      </w:r>
    </w:p>
    <w:bookmarkEnd w:id="26"/>
    <w:bookmarkStart w:id="27" w:name="drift-detection"/>
    <w:p>
      <w:pPr>
        <w:pStyle w:val="Heading3"/>
      </w:pPr>
      <w:r>
        <w:t xml:space="preserve">2. Drift Detection</w:t>
      </w:r>
    </w:p>
    <w:p>
      <w:pPr>
        <w:pStyle w:val="FirstParagraph"/>
      </w:pPr>
      <w:r>
        <w:t xml:space="preserve">The Witness highlights where written policy and actual behavior diverge.</w:t>
      </w:r>
    </w:p>
    <w:bookmarkEnd w:id="27"/>
    <w:bookmarkStart w:id="28" w:name="institutional-memory"/>
    <w:p>
      <w:pPr>
        <w:pStyle w:val="Heading3"/>
      </w:pPr>
      <w:r>
        <w:t xml:space="preserve">3. Institutional Memory</w:t>
      </w:r>
    </w:p>
    <w:p>
      <w:pPr>
        <w:pStyle w:val="FirstParagraph"/>
      </w:pPr>
      <w:r>
        <w:t xml:space="preserve">Decisions and interpretations accumulate into durable, searchable history.</w:t>
      </w:r>
    </w:p>
    <w:bookmarkEnd w:id="28"/>
    <w:bookmarkStart w:id="29" w:name="risk-early-warning"/>
    <w:p>
      <w:pPr>
        <w:pStyle w:val="Heading3"/>
      </w:pPr>
      <w:r>
        <w:t xml:space="preserve">4. Risk Early Warning</w:t>
      </w:r>
    </w:p>
    <w:p>
      <w:pPr>
        <w:pStyle w:val="FirstParagraph"/>
      </w:pPr>
      <w:r>
        <w:t xml:space="preserve">Patterns of threshold overrides, repeated exceptions, or boundary stress become visible before they escalate.</w:t>
      </w:r>
    </w:p>
    <w:bookmarkEnd w:id="29"/>
    <w:bookmarkStart w:id="30" w:name="delegation-readiness"/>
    <w:p>
      <w:pPr>
        <w:pStyle w:val="Heading3"/>
      </w:pPr>
      <w:r>
        <w:t xml:space="preserve">5. Delegation Readiness</w:t>
      </w:r>
    </w:p>
    <w:p>
      <w:pPr>
        <w:pStyle w:val="FirstParagraph"/>
      </w:pPr>
      <w:r>
        <w:t xml:space="preserve">By observing how work flows today, the firm can safely identify which processes are stable enough for AI participation in the future.</w:t>
      </w:r>
    </w:p>
    <w:bookmarkEnd w:id="30"/>
    <w:bookmarkStart w:id="31" w:name="cultural-mapping"/>
    <w:p>
      <w:pPr>
        <w:pStyle w:val="Heading3"/>
      </w:pPr>
      <w:r>
        <w:t xml:space="preserve">6. Cultural Mapping</w:t>
      </w:r>
    </w:p>
    <w:p>
      <w:pPr>
        <w:pStyle w:val="FirstParagraph"/>
      </w:pPr>
      <w:r>
        <w:t xml:space="preserve">The Witness reveals informal norms, escalation habits, and operational rhythms.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704a2f552381c5c9f984dad4b364b940bea169d"/>
    <w:p>
      <w:pPr>
        <w:pStyle w:val="Heading2"/>
      </w:pPr>
      <w:r>
        <w:t xml:space="preserve">Architectural Model (Firm-Level Deployment)</w:t>
      </w:r>
    </w:p>
    <w:bookmarkStart w:id="33" w:name="data-plane-local"/>
    <w:p>
      <w:pPr>
        <w:pStyle w:val="Heading3"/>
      </w:pPr>
      <w:r>
        <w:t xml:space="preserve">1. Data Plane (Local)</w:t>
      </w:r>
    </w:p>
    <w:p>
      <w:pPr>
        <w:pStyle w:val="Compact"/>
        <w:numPr>
          <w:ilvl w:val="0"/>
          <w:numId w:val="1004"/>
        </w:numPr>
      </w:pPr>
      <w:r>
        <w:t xml:space="preserve">ERP and workflow integrations</w:t>
      </w:r>
    </w:p>
    <w:p>
      <w:pPr>
        <w:pStyle w:val="Compact"/>
        <w:numPr>
          <w:ilvl w:val="0"/>
          <w:numId w:val="1004"/>
        </w:numPr>
      </w:pPr>
      <w:r>
        <w:t xml:space="preserve">Document management metadata</w:t>
      </w:r>
    </w:p>
    <w:p>
      <w:pPr>
        <w:pStyle w:val="Compact"/>
        <w:numPr>
          <w:ilvl w:val="0"/>
          <w:numId w:val="1004"/>
        </w:numPr>
      </w:pPr>
      <w:r>
        <w:t xml:space="preserve">Policy artifact store</w:t>
      </w:r>
    </w:p>
    <w:p>
      <w:pPr>
        <w:pStyle w:val="Compact"/>
        <w:numPr>
          <w:ilvl w:val="0"/>
          <w:numId w:val="1004"/>
        </w:numPr>
      </w:pPr>
      <w:r>
        <w:t xml:space="preserve">Event listeners</w:t>
      </w:r>
    </w:p>
    <w:p>
      <w:pPr>
        <w:pStyle w:val="FirstParagraph"/>
      </w:pPr>
      <w:r>
        <w:t xml:space="preserve">All operational data remains within the firm’s environment.</w:t>
      </w:r>
    </w:p>
    <w:p>
      <w:r>
        <w:pict>
          <v:rect style="width:0;height:1.5pt" o:hralign="center" o:hrstd="t" o:hr="t"/>
        </w:pict>
      </w:r>
    </w:p>
    <w:bookmarkEnd w:id="33"/>
    <w:bookmarkStart w:id="34" w:name="interpretation-plane-local-first"/>
    <w:p>
      <w:pPr>
        <w:pStyle w:val="Heading3"/>
      </w:pPr>
      <w:r>
        <w:t xml:space="preserve">2. Interpretation Plane (Local-First)</w:t>
      </w:r>
    </w:p>
    <w:p>
      <w:pPr>
        <w:pStyle w:val="Compact"/>
        <w:numPr>
          <w:ilvl w:val="0"/>
          <w:numId w:val="1005"/>
        </w:numPr>
      </w:pPr>
      <w:r>
        <w:t xml:space="preserve">Local LLM or semantic engine</w:t>
      </w:r>
    </w:p>
    <w:p>
      <w:pPr>
        <w:pStyle w:val="Compact"/>
        <w:numPr>
          <w:ilvl w:val="0"/>
          <w:numId w:val="1005"/>
        </w:numPr>
      </w:pPr>
      <w:r>
        <w:t xml:space="preserve">Policy-to-event mapping</w:t>
      </w:r>
    </w:p>
    <w:p>
      <w:pPr>
        <w:pStyle w:val="Compact"/>
        <w:numPr>
          <w:ilvl w:val="0"/>
          <w:numId w:val="1005"/>
        </w:numPr>
      </w:pPr>
      <w:r>
        <w:t xml:space="preserve">Drift detection logic</w:t>
      </w:r>
    </w:p>
    <w:p>
      <w:pPr>
        <w:pStyle w:val="Compact"/>
        <w:numPr>
          <w:ilvl w:val="0"/>
          <w:numId w:val="1005"/>
        </w:numPr>
      </w:pPr>
      <w:r>
        <w:t xml:space="preserve">Narrative generator</w:t>
      </w:r>
    </w:p>
    <w:p>
      <w:pPr>
        <w:pStyle w:val="Compact"/>
        <w:numPr>
          <w:ilvl w:val="0"/>
          <w:numId w:val="1005"/>
        </w:numPr>
      </w:pPr>
      <w:r>
        <w:t xml:space="preserve">Role-based compression engine</w:t>
      </w:r>
    </w:p>
    <w:p>
      <w:pPr>
        <w:pStyle w:val="FirstParagraph"/>
      </w:pPr>
      <w:r>
        <w:t xml:space="preserve">The Witness is designed to run fully on-premises if required.</w:t>
      </w:r>
    </w:p>
    <w:p>
      <w:pPr>
        <w:pStyle w:val="BodyText"/>
      </w:pPr>
      <w:r>
        <w:t xml:space="preserve">Optional configurations may allow obfuscated or redacted summaries to interact with cloud-based services, but full data sovereignty is preserved by default.</w:t>
      </w:r>
    </w:p>
    <w:p>
      <w:r>
        <w:pict>
          <v:rect style="width:0;height:1.5pt" o:hralign="center" o:hrstd="t" o:hr="t"/>
        </w:pict>
      </w:r>
    </w:p>
    <w:bookmarkEnd w:id="34"/>
    <w:bookmarkStart w:id="35" w:name="interface-plane"/>
    <w:p>
      <w:pPr>
        <w:pStyle w:val="Heading3"/>
      </w:pPr>
      <w:r>
        <w:t xml:space="preserve">3. Interface Plane</w:t>
      </w:r>
    </w:p>
    <w:p>
      <w:pPr>
        <w:pStyle w:val="Compact"/>
        <w:numPr>
          <w:ilvl w:val="0"/>
          <w:numId w:val="1006"/>
        </w:numPr>
      </w:pPr>
      <w:r>
        <w:t xml:space="preserve">Role-aware dashboard</w:t>
      </w:r>
    </w:p>
    <w:p>
      <w:pPr>
        <w:pStyle w:val="Compact"/>
        <w:numPr>
          <w:ilvl w:val="0"/>
          <w:numId w:val="1006"/>
        </w:numPr>
      </w:pPr>
      <w:r>
        <w:t xml:space="preserve">Exception and alert views</w:t>
      </w:r>
    </w:p>
    <w:p>
      <w:pPr>
        <w:pStyle w:val="Compact"/>
        <w:numPr>
          <w:ilvl w:val="0"/>
          <w:numId w:val="1006"/>
        </w:numPr>
      </w:pPr>
      <w:r>
        <w:t xml:space="preserve">Narrative activity summaries</w:t>
      </w:r>
    </w:p>
    <w:p>
      <w:pPr>
        <w:pStyle w:val="Compact"/>
        <w:numPr>
          <w:ilvl w:val="0"/>
          <w:numId w:val="1006"/>
        </w:numPr>
      </w:pPr>
      <w:r>
        <w:t xml:space="preserve">Audit exploration tools</w:t>
      </w:r>
    </w:p>
    <w:p>
      <w:pPr>
        <w:pStyle w:val="Compact"/>
        <w:numPr>
          <w:ilvl w:val="0"/>
          <w:numId w:val="1006"/>
        </w:numPr>
      </w:pPr>
      <w:r>
        <w:t xml:space="preserve">Adjustable compression controls</w:t>
      </w:r>
    </w:p>
    <w:p>
      <w:pPr>
        <w:pStyle w:val="FirstParagraph"/>
      </w:pPr>
      <w:r>
        <w:t xml:space="preserve">Visibility is scoped according to organizational authority.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rust-model"/>
    <w:p>
      <w:pPr>
        <w:pStyle w:val="Heading2"/>
      </w:pPr>
      <w:r>
        <w:t xml:space="preserve">Trust Model</w:t>
      </w:r>
    </w:p>
    <w:p>
      <w:pPr>
        <w:pStyle w:val="FirstParagraph"/>
      </w:pPr>
      <w:r>
        <w:t xml:space="preserve">The Witness:</w:t>
      </w:r>
    </w:p>
    <w:p>
      <w:pPr>
        <w:pStyle w:val="Compact"/>
        <w:numPr>
          <w:ilvl w:val="0"/>
          <w:numId w:val="1007"/>
        </w:numPr>
      </w:pPr>
      <w:r>
        <w:t xml:space="preserve">Is read-only</w:t>
      </w:r>
    </w:p>
    <w:p>
      <w:pPr>
        <w:pStyle w:val="Compact"/>
        <w:numPr>
          <w:ilvl w:val="0"/>
          <w:numId w:val="1007"/>
        </w:numPr>
      </w:pPr>
      <w:r>
        <w:t xml:space="preserve">Does not execute transactions</w:t>
      </w:r>
    </w:p>
    <w:p>
      <w:pPr>
        <w:pStyle w:val="Compact"/>
        <w:numPr>
          <w:ilvl w:val="0"/>
          <w:numId w:val="1007"/>
        </w:numPr>
      </w:pPr>
      <w:r>
        <w:t xml:space="preserve">Does not alter permissions</w:t>
      </w:r>
    </w:p>
    <w:p>
      <w:pPr>
        <w:pStyle w:val="Compact"/>
        <w:numPr>
          <w:ilvl w:val="0"/>
          <w:numId w:val="1007"/>
        </w:numPr>
      </w:pPr>
      <w:r>
        <w:t xml:space="preserve">Does not expand its own scope</w:t>
      </w:r>
    </w:p>
    <w:p>
      <w:pPr>
        <w:pStyle w:val="FirstParagraph"/>
      </w:pPr>
      <w:r>
        <w:t xml:space="preserve">It operates as a mirror, not an actor.</w:t>
      </w:r>
    </w:p>
    <w:p>
      <w:pPr>
        <w:pStyle w:val="BodyText"/>
      </w:pPr>
      <w:r>
        <w:t xml:space="preserve">The firm retains full control over data residency, encryption, and access.</w:t>
      </w:r>
    </w:p>
    <w:p>
      <w:r>
        <w:pict>
          <v:rect style="width:0;height:1.5pt" o:hralign="center" o:hrstd="t" o:hr="t"/>
        </w:pict>
      </w:r>
    </w:p>
    <w:bookmarkEnd w:id="37"/>
    <w:bookmarkStart w:id="38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t xml:space="preserve">The AI Witness is a local, role-aware, continuously running mirror of organizational activity that transforms operational noise into structured, governed visibility — without taking action.</w:t>
      </w:r>
    </w:p>
    <w:p>
      <w:pPr>
        <w:pStyle w:val="BodyText"/>
      </w:pPr>
      <w:r>
        <w:t xml:space="preserve">It enables clarity before autonomy.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2026-02-19T03:47:20Z</dcterms:created>
  <dcterms:modified xsi:type="dcterms:W3CDTF">2026-02-19T03:47:20Z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