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B2DBF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White Paper: The Accounting Firm After Labor</w:t>
      </w:r>
    </w:p>
    <w:p w14:paraId="21B6A62C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To: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Partners and Leadership of (Firm Name)</w:t>
      </w:r>
      <w:r w:rsidRPr="00295565">
        <w:rPr>
          <w:rFonts w:ascii="Roboto" w:eastAsia="Times New Roman" w:hAnsi="Roboto" w:cs="Times New Roman"/>
          <w:kern w:val="0"/>
          <w14:ligatures w14:val="none"/>
        </w:rPr>
        <w:br/>
      </w: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Subject: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Transitioning from Information Scarcity to Organizational Continuity</w:t>
      </w:r>
    </w:p>
    <w:p w14:paraId="771198C8" w14:textId="77777777" w:rsidR="00295565" w:rsidRPr="00295565" w:rsidRDefault="009350BA" w:rsidP="00295565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350BA">
        <w:rPr>
          <w:rFonts w:ascii="Times New Roman" w:eastAsia="Times New Roman" w:hAnsi="Times New Roman" w:cs="Times New Roman"/>
          <w:noProof/>
          <w:kern w:val="0"/>
        </w:rPr>
        <w:pict w14:anchorId="47CE849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91F36B3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I. The Core Premise: The End of the Advisory Moat</w:t>
      </w:r>
    </w:p>
    <w:p w14:paraId="3D826F95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For over a century, accounting firms have thrived on </w:t>
      </w: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information asymmetry</w:t>
      </w:r>
      <w:r w:rsidRPr="00295565">
        <w:rPr>
          <w:rFonts w:ascii="Roboto" w:eastAsia="Times New Roman" w:hAnsi="Roboto" w:cs="Times New Roman"/>
          <w:kern w:val="0"/>
          <w14:ligatures w14:val="none"/>
        </w:rPr>
        <w:t>. Our value was rooted in "knowing what others did not know." AI has permanently dissolved this foundation.</w:t>
      </w:r>
    </w:p>
    <w:p w14:paraId="4FFF7906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When desktop AI systems can interpret regulations, reconcile transactions, and simulate outcomes at machine speed, the traditional "advisory moat" collapses. The future scarcity is no longer information—it is </w:t>
      </w: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legitimacy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and </w:t>
      </w: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continuity</w:t>
      </w:r>
      <w:r w:rsidRPr="00295565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16D2C97A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As businesses delegate authority to autonomous systems, they face new frictions: </w:t>
      </w: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decision opacity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(not knowing </w:t>
      </w:r>
      <w:r w:rsidRPr="00295565">
        <w:rPr>
          <w:rFonts w:ascii="Roboto" w:eastAsia="Times New Roman" w:hAnsi="Roboto" w:cs="Times New Roman"/>
          <w:i/>
          <w:iCs/>
          <w:kern w:val="0"/>
          <w14:ligatures w14:val="none"/>
        </w:rPr>
        <w:t>why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a choice was made) and </w:t>
      </w: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provenance collapse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(losing the trail of authorization). Our new role is not to "do the work," but to serve as the </w:t>
      </w: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Institutional Trust Infrastructure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that ensures an organization remains legible to itself.</w:t>
      </w:r>
    </w:p>
    <w:p w14:paraId="2F880F2F" w14:textId="77777777" w:rsidR="00295565" w:rsidRPr="00295565" w:rsidRDefault="009350BA" w:rsidP="00295565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350BA">
        <w:rPr>
          <w:rFonts w:ascii="Times New Roman" w:eastAsia="Times New Roman" w:hAnsi="Times New Roman" w:cs="Times New Roman"/>
          <w:noProof/>
          <w:kern w:val="0"/>
        </w:rPr>
        <w:pict w14:anchorId="5064874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BB4AF4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II. Adversarial Analysis: Risks to the Vision</w:t>
      </w:r>
    </w:p>
    <w:p w14:paraId="5937340D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kern w:val="0"/>
          <w14:ligatures w14:val="none"/>
        </w:rPr>
        <w:t>To prepare for this transition, we must acknowledge the forces that could derail it:</w:t>
      </w:r>
    </w:p>
    <w:p w14:paraId="35D4C684" w14:textId="77777777" w:rsidR="00295565" w:rsidRPr="00295565" w:rsidRDefault="00295565" w:rsidP="00295565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The Hollowed-Out Middle: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If mid-sized firms do not pivot, they risk being crushed between low-cost, AI-native startups and the "Big Four," who have the capital to build proprietary "Continuity" platforms.</w:t>
      </w:r>
    </w:p>
    <w:p w14:paraId="3ED09018" w14:textId="77777777" w:rsidR="00295565" w:rsidRPr="00295565" w:rsidRDefault="00295565" w:rsidP="00295565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Regulatory Stagnation: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Professional standards bodies (AICPA, etc.) may be slow to recognize "Continuity Services" as billable/auditable, creating a period where firms are doing high-value work that lacks a formal compliance framework.</w:t>
      </w:r>
    </w:p>
    <w:p w14:paraId="6234AFE6" w14:textId="77777777" w:rsidR="00295565" w:rsidRPr="00295565" w:rsidRDefault="00295565" w:rsidP="00295565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Talent Attrition: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The "Billable Hour" mindset is deeply ingrained. Shifting to subscription-based "Stewardship" requires a radical cultural overhaul that may alienate staff who value traditional, task-oriented productivity.</w:t>
      </w:r>
    </w:p>
    <w:p w14:paraId="1A4CF9D3" w14:textId="77777777" w:rsidR="00295565" w:rsidRPr="00295565" w:rsidRDefault="009350BA" w:rsidP="00295565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350BA">
        <w:rPr>
          <w:rFonts w:ascii="Times New Roman" w:eastAsia="Times New Roman" w:hAnsi="Times New Roman" w:cs="Times New Roman"/>
          <w:noProof/>
          <w:kern w:val="0"/>
        </w:rPr>
        <w:pict w14:anchorId="7040540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18E361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III. Strategic Pivot: From Labor to Continuity</w:t>
      </w:r>
    </w:p>
    <w:p w14:paraId="53D7BDE7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We are proposing a transition from a </w:t>
      </w: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Compliance Office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to a </w:t>
      </w: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Continuity Office</w:t>
      </w:r>
      <w:r w:rsidRPr="00295565">
        <w:rPr>
          <w:rFonts w:ascii="Roboto" w:eastAsia="Times New Roman" w:hAnsi="Roboto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825"/>
        <w:gridCol w:w="6025"/>
      </w:tblGrid>
      <w:tr w:rsidR="00295565" w:rsidRPr="00295565" w14:paraId="5C8F124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9D3391" w14:textId="77777777" w:rsidR="00295565" w:rsidRPr="00295565" w:rsidRDefault="00295565" w:rsidP="0029556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95565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Service Category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7D003B0" w14:textId="77777777" w:rsidR="00295565" w:rsidRPr="00295565" w:rsidRDefault="00295565" w:rsidP="0029556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95565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Traditional Focus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22A51BF" w14:textId="77777777" w:rsidR="00295565" w:rsidRPr="00295565" w:rsidRDefault="00295565" w:rsidP="0029556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95565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The "Continuity" Future</w:t>
            </w:r>
          </w:p>
        </w:tc>
      </w:tr>
      <w:tr w:rsidR="00295565" w:rsidRPr="00295565" w14:paraId="409A973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7BD44C5" w14:textId="77777777" w:rsidR="00295565" w:rsidRPr="00295565" w:rsidRDefault="00295565" w:rsidP="00295565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295565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Audit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30439FF" w14:textId="77777777" w:rsidR="00295565" w:rsidRPr="00295565" w:rsidRDefault="00295565" w:rsidP="00295565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295565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Financial Correctness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431ABDA" w14:textId="77777777" w:rsidR="00295565" w:rsidRPr="00295565" w:rsidRDefault="00295565" w:rsidP="00295565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295565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Autonomous Auditability:</w:t>
            </w:r>
            <w:r w:rsidRPr="00295565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Validating that AI stayed within its authorized policy scope.</w:t>
            </w:r>
          </w:p>
        </w:tc>
      </w:tr>
      <w:tr w:rsidR="00295565" w:rsidRPr="00295565" w14:paraId="06C3FCF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A8350F" w14:textId="77777777" w:rsidR="00295565" w:rsidRPr="00295565" w:rsidRDefault="00295565" w:rsidP="00295565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295565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Advisory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10841A4" w14:textId="77777777" w:rsidR="00295565" w:rsidRPr="00295565" w:rsidRDefault="00295565" w:rsidP="00295565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295565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Forecasting &amp; Strategy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4CAE51A" w14:textId="77777777" w:rsidR="00295565" w:rsidRPr="00295565" w:rsidRDefault="00295565" w:rsidP="00295565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295565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AI Decision Lineage:</w:t>
            </w:r>
            <w:r w:rsidRPr="00295565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Maintaining records of the assumptions and models behind AI choices.</w:t>
            </w:r>
          </w:p>
        </w:tc>
      </w:tr>
      <w:tr w:rsidR="00295565" w:rsidRPr="00295565" w14:paraId="61C706A7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7CBBC56" w14:textId="77777777" w:rsidR="00295565" w:rsidRPr="00295565" w:rsidRDefault="00295565" w:rsidP="00295565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295565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Governance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E0502B6" w14:textId="77777777" w:rsidR="00295565" w:rsidRPr="00295565" w:rsidRDefault="00295565" w:rsidP="00295565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295565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Compliance Checklists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145E74B" w14:textId="77777777" w:rsidR="00295565" w:rsidRPr="00295565" w:rsidRDefault="00295565" w:rsidP="00295565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295565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Consent Infrastructure:</w:t>
            </w:r>
            <w:r w:rsidRPr="00295565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Defining the boundaries and reversibility of delegated AI authority.</w:t>
            </w:r>
          </w:p>
        </w:tc>
      </w:tr>
    </w:tbl>
    <w:p w14:paraId="2B572FC7" w14:textId="77777777" w:rsidR="00295565" w:rsidRPr="00295565" w:rsidRDefault="009350BA" w:rsidP="00295565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350BA">
        <w:rPr>
          <w:rFonts w:ascii="Times New Roman" w:eastAsia="Times New Roman" w:hAnsi="Times New Roman" w:cs="Times New Roman"/>
          <w:noProof/>
          <w:kern w:val="0"/>
        </w:rPr>
        <w:pict w14:anchorId="57F55D6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AD0A97A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IV. Firm Preparations &amp; Roadmap</w:t>
      </w:r>
    </w:p>
    <w:p w14:paraId="42029266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Stage 1: Operational Digitization (Months 1–6)</w:t>
      </w:r>
    </w:p>
    <w:p w14:paraId="77B72E2A" w14:textId="77777777" w:rsidR="00295565" w:rsidRPr="00295565" w:rsidRDefault="00295565" w:rsidP="00295565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Data Foundation: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Consolidate all client data into cloud-based ERPs with robust API connectivity.</w:t>
      </w:r>
    </w:p>
    <w:p w14:paraId="4972FCAA" w14:textId="77777777" w:rsidR="00295565" w:rsidRPr="00295565" w:rsidRDefault="00295565" w:rsidP="00295565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The "Shadow" AI Audit: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Run AI-driven automation alongside current manual workflows to benchmark accuracy and identify "trust gaps."</w:t>
      </w:r>
    </w:p>
    <w:p w14:paraId="5B53E5E4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Stage 2: Business Model Evolution (Months 6–18)</w:t>
      </w:r>
    </w:p>
    <w:p w14:paraId="3CA73764" w14:textId="77777777" w:rsidR="00295565" w:rsidRPr="00295565" w:rsidRDefault="00295565" w:rsidP="00295565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Pilot Subscription Models: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Shift a subset of clients from hourly billing to </w:t>
      </w: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Trust-as-a-Service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subscriptions.</w:t>
      </w:r>
    </w:p>
    <w:p w14:paraId="7604CFD1" w14:textId="77777777" w:rsidR="00295565" w:rsidRPr="00295565" w:rsidRDefault="00295565" w:rsidP="00295565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Develop "Stewardship" Reports: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Start providing clients with "Governance Summaries" that explain the logic behind their automated financial flows, not just the numbers.</w:t>
      </w:r>
    </w:p>
    <w:p w14:paraId="31A5729F" w14:textId="77777777" w:rsidR="00295565" w:rsidRPr="00295565" w:rsidRDefault="009350BA" w:rsidP="00295565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350BA">
        <w:rPr>
          <w:rFonts w:ascii="Times New Roman" w:eastAsia="Times New Roman" w:hAnsi="Times New Roman" w:cs="Times New Roman"/>
          <w:noProof/>
          <w:kern w:val="0"/>
        </w:rPr>
        <w:pict w14:anchorId="7EC589C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2B149B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V. Training &amp; Career Transition Map</w:t>
      </w:r>
    </w:p>
    <w:p w14:paraId="16C245CB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We must re-skill our staff to move from </w:t>
      </w: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Technical Doers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to </w:t>
      </w: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System Stewards</w:t>
      </w:r>
      <w:r w:rsidRPr="00295565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35FC3B2A" w14:textId="77777777" w:rsidR="00295565" w:rsidRPr="00295565" w:rsidRDefault="00295565" w:rsidP="00295565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Tax/Audit Staff \(\rightarrow \) Systems Forensics: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Training in AI logic, data provenance, and "Black Box" debugging.</w:t>
      </w:r>
    </w:p>
    <w:p w14:paraId="28767980" w14:textId="77777777" w:rsidR="00295565" w:rsidRPr="00295565" w:rsidRDefault="00295565" w:rsidP="00295565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Managers \(\rightarrow \) Continuity Architects: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Focused on systems thinking, ethical AI governance, and strategic narrative.</w:t>
      </w:r>
    </w:p>
    <w:p w14:paraId="641FE2AA" w14:textId="77777777" w:rsidR="00295565" w:rsidRPr="00295565" w:rsidRDefault="00295565" w:rsidP="00295565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Partners \(\rightarrow \) Relationship Stewards: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Mastery of value-based pricing and long-term institutional memory preservation.</w:t>
      </w:r>
    </w:p>
    <w:p w14:paraId="36477251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High-Level Training Recommendations:</w:t>
      </w:r>
    </w:p>
    <w:p w14:paraId="6DF9701B" w14:textId="77777777" w:rsidR="00295565" w:rsidRPr="00295565" w:rsidRDefault="00295565" w:rsidP="00295565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AI Literacy Certification: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Mandatory training on the limitations and "hallucination" patterns of LLMs in finance.</w:t>
      </w:r>
    </w:p>
    <w:p w14:paraId="154E9E1E" w14:textId="77777777" w:rsidR="00295565" w:rsidRPr="00295565" w:rsidRDefault="00295565" w:rsidP="00295565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Systems Thinking Workshops: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Shifting focus from "linear tasks" to "networked workflows."</w:t>
      </w:r>
    </w:p>
    <w:p w14:paraId="0414A45E" w14:textId="77777777" w:rsidR="00295565" w:rsidRPr="00295565" w:rsidRDefault="00295565" w:rsidP="00295565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Client Narrative Coaching: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Training staff to translate complex algorithmic outputs into plain-English business risks.</w:t>
      </w:r>
    </w:p>
    <w:p w14:paraId="26F257DB" w14:textId="77777777" w:rsidR="00295565" w:rsidRPr="00295565" w:rsidRDefault="009350BA" w:rsidP="00295565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350BA">
        <w:rPr>
          <w:rFonts w:ascii="Times New Roman" w:eastAsia="Times New Roman" w:hAnsi="Times New Roman" w:cs="Times New Roman"/>
          <w:noProof/>
          <w:kern w:val="0"/>
        </w:rPr>
        <w:pict w14:anchorId="266E513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213EC1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Conclusion</w:t>
      </w:r>
    </w:p>
    <w:p w14:paraId="287155EB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kern w:val="0"/>
          <w14:ligatures w14:val="none"/>
        </w:rPr>
        <w:lastRenderedPageBreak/>
        <w:t xml:space="preserve">The firms that survive will not be those that automate the fastest, but those that become the </w:t>
      </w: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trusted stewards of coherence</w:t>
      </w:r>
      <w:r w:rsidRPr="00295565">
        <w:rPr>
          <w:rFonts w:ascii="Roboto" w:eastAsia="Times New Roman" w:hAnsi="Roboto" w:cs="Times New Roman"/>
          <w:kern w:val="0"/>
          <w14:ligatures w14:val="none"/>
        </w:rPr>
        <w:t xml:space="preserve"> in a world of machine-speed decisions. The window of opportunity to build this "Continuity Office" is open, but it is closing rapidly.</w:t>
      </w:r>
    </w:p>
    <w:p w14:paraId="1EF9F01D" w14:textId="77777777" w:rsidR="00295565" w:rsidRPr="00295565" w:rsidRDefault="00295565" w:rsidP="0029556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95565">
        <w:rPr>
          <w:rFonts w:ascii="Roboto" w:eastAsia="Times New Roman" w:hAnsi="Roboto" w:cs="Times New Roman"/>
          <w:b/>
          <w:bCs/>
          <w:kern w:val="0"/>
          <w14:ligatures w14:val="none"/>
        </w:rPr>
        <w:t>Should we schedule a "Service Discovery" workshop with your senior managers to identify our first pilot "Continuity Service"?</w:t>
      </w:r>
    </w:p>
    <w:p w14:paraId="1C67A3EC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51DA"/>
    <w:multiLevelType w:val="multilevel"/>
    <w:tmpl w:val="B99E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A7E64"/>
    <w:multiLevelType w:val="multilevel"/>
    <w:tmpl w:val="26A8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309D5"/>
    <w:multiLevelType w:val="multilevel"/>
    <w:tmpl w:val="D9D8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940D7"/>
    <w:multiLevelType w:val="multilevel"/>
    <w:tmpl w:val="8B10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A3429"/>
    <w:multiLevelType w:val="multilevel"/>
    <w:tmpl w:val="7BB2E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271749">
    <w:abstractNumId w:val="2"/>
  </w:num>
  <w:num w:numId="2" w16cid:durableId="77677696">
    <w:abstractNumId w:val="0"/>
  </w:num>
  <w:num w:numId="3" w16cid:durableId="296641554">
    <w:abstractNumId w:val="1"/>
  </w:num>
  <w:num w:numId="4" w16cid:durableId="1973437667">
    <w:abstractNumId w:val="3"/>
  </w:num>
  <w:num w:numId="5" w16cid:durableId="306907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65"/>
    <w:rsid w:val="00295565"/>
    <w:rsid w:val="00927527"/>
    <w:rsid w:val="009350BA"/>
    <w:rsid w:val="009A6612"/>
    <w:rsid w:val="00C91EE3"/>
    <w:rsid w:val="00E26021"/>
    <w:rsid w:val="00F5758A"/>
    <w:rsid w:val="00F6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04066"/>
  <w15:chartTrackingRefBased/>
  <w15:docId w15:val="{040C223B-EA51-074C-8167-2E6341E3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56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5565"/>
    <w:rPr>
      <w:b/>
      <w:bCs/>
    </w:rPr>
  </w:style>
  <w:style w:type="character" w:styleId="Emphasis">
    <w:name w:val="Emphasis"/>
    <w:basedOn w:val="DefaultParagraphFont"/>
    <w:uiPriority w:val="20"/>
    <w:qFormat/>
    <w:rsid w:val="00295565"/>
    <w:rPr>
      <w:i/>
      <w:iCs/>
    </w:rPr>
  </w:style>
  <w:style w:type="paragraph" w:customStyle="1" w:styleId="z1qcye">
    <w:name w:val="z1qcye"/>
    <w:basedOn w:val="Normal"/>
    <w:rsid w:val="00295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295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613</Words>
  <Characters>3598</Characters>
  <Application>Microsoft Office Word</Application>
  <DocSecurity>0</DocSecurity>
  <Lines>62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2026-05-07T17:30:00Z</dcterms:created>
  <dcterms:modified xsi:type="dcterms:W3CDTF">2026-05-07T19:12:00Z</dcterms:modified>
</cp:coreProperties>
</file>