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795e5ab9cdd239831ab699b1869ce4ae4d9d5d8"/>
    <w:p>
      <w:pPr>
        <w:pStyle w:val="Heading1"/>
      </w:pPr>
      <w:r>
        <w:t xml:space="preserve">Sample AI Worker Conversation: General Ledger Operations</w:t>
      </w:r>
    </w:p>
    <w:bookmarkStart w:id="20" w:name="narrative-context"/>
    <w:p>
      <w:pPr>
        <w:pStyle w:val="Heading2"/>
      </w:pPr>
      <w:r>
        <w:t xml:space="preserve">Narrative Context</w:t>
      </w:r>
    </w:p>
    <w:p>
      <w:pPr>
        <w:pStyle w:val="FirstParagraph"/>
      </w:pPr>
      <w:r>
        <w:t xml:space="preserve">The following is a fictional but operationally plausible example of how an accounting manager might interact with an AI-augmented General Ledger (</w:t>
      </w:r>
      <w:r>
        <w:t xml:space="preserve">“GL-AI”</w:t>
      </w:r>
      <w:r>
        <w:t xml:space="preserve">) system in the near future.</w:t>
      </w:r>
    </w:p>
    <w:p>
      <w:pPr>
        <w:pStyle w:val="BodyText"/>
      </w:pPr>
      <w:r>
        <w:t xml:space="preserve">This is not a story about automation replacing professionals.</w:t>
      </w:r>
      <w:r>
        <w:t xml:space="preserve"> </w:t>
      </w:r>
      <w:r>
        <w:t xml:space="preserve">It is a story about governed capability.</w:t>
      </w:r>
    </w:p>
    <w:p>
      <w:pPr>
        <w:pStyle w:val="BodyText"/>
      </w:pPr>
      <w:r>
        <w:t xml:space="preserve">In this environment, AI operates inside explicit, machine-readable policy boundaries. It does not invent thresholds. It does not redefine materiality. It does not silently expand access. It executes within defined tolerances and escalates when those tolerances are crossed.</w:t>
      </w:r>
    </w:p>
    <w:p>
      <w:pPr>
        <w:pStyle w:val="BodyText"/>
      </w:pPr>
      <w:r>
        <w:t xml:space="preserve">The accounting manager remains accountable. The AI remains bounded.</w:t>
      </w:r>
    </w:p>
    <w:p>
      <w:pPr>
        <w:pStyle w:val="BodyText"/>
      </w:pPr>
      <w:r>
        <w:t xml:space="preserve">What makes this system valuable is not raw model intelligence. It is structured context:</w:t>
      </w:r>
    </w:p>
    <w:p>
      <w:pPr>
        <w:pStyle w:val="Compact"/>
        <w:numPr>
          <w:ilvl w:val="0"/>
          <w:numId w:val="1001"/>
        </w:numPr>
      </w:pPr>
      <w:r>
        <w:t xml:space="preserve">Defined variance thresholds</w:t>
      </w:r>
      <w:r>
        <w:br/>
      </w:r>
    </w:p>
    <w:p>
      <w:pPr>
        <w:pStyle w:val="Compact"/>
        <w:numPr>
          <w:ilvl w:val="0"/>
          <w:numId w:val="1001"/>
        </w:numPr>
      </w:pPr>
      <w:r>
        <w:t xml:space="preserve">Explicit approval authorities</w:t>
      </w:r>
      <w:r>
        <w:br/>
      </w:r>
    </w:p>
    <w:p>
      <w:pPr>
        <w:pStyle w:val="Compact"/>
        <w:numPr>
          <w:ilvl w:val="0"/>
          <w:numId w:val="1001"/>
        </w:numPr>
      </w:pPr>
      <w:r>
        <w:t xml:space="preserve">Scoped cross-entity access controls</w:t>
      </w:r>
      <w:r>
        <w:br/>
      </w:r>
    </w:p>
    <w:p>
      <w:pPr>
        <w:pStyle w:val="Compact"/>
        <w:numPr>
          <w:ilvl w:val="0"/>
          <w:numId w:val="1001"/>
        </w:numPr>
      </w:pPr>
      <w:r>
        <w:t xml:space="preserve">Logged override codes</w:t>
      </w:r>
      <w:r>
        <w:br/>
      </w:r>
    </w:p>
    <w:p>
      <w:pPr>
        <w:pStyle w:val="Compact"/>
        <w:numPr>
          <w:ilvl w:val="0"/>
          <w:numId w:val="1001"/>
        </w:numPr>
      </w:pPr>
      <w:r>
        <w:t xml:space="preserve">Documented exception pathways</w:t>
      </w:r>
      <w:r>
        <w:br/>
      </w:r>
    </w:p>
    <w:p>
      <w:pPr>
        <w:pStyle w:val="Compact"/>
        <w:numPr>
          <w:ilvl w:val="0"/>
          <w:numId w:val="1001"/>
        </w:numPr>
      </w:pPr>
      <w:r>
        <w:t xml:space="preserve">Clear escalation triggers</w:t>
      </w:r>
    </w:p>
    <w:p>
      <w:pPr>
        <w:pStyle w:val="FirstParagraph"/>
      </w:pPr>
      <w:r>
        <w:t xml:space="preserve">Those elements reflect institutional intent made durable.</w:t>
      </w:r>
    </w:p>
    <w:p>
      <w:pPr>
        <w:pStyle w:val="BodyText"/>
      </w:pPr>
      <w:r>
        <w:t xml:space="preserve">This scenario illustrates more than exception handling. It demonstrates:</w:t>
      </w:r>
    </w:p>
    <w:p>
      <w:pPr>
        <w:pStyle w:val="Compact"/>
        <w:numPr>
          <w:ilvl w:val="0"/>
          <w:numId w:val="1002"/>
        </w:numPr>
      </w:pPr>
      <w:r>
        <w:rPr>
          <w:b/>
          <w:bCs/>
        </w:rPr>
        <w:t xml:space="preserve">Intent persistence</w:t>
      </w:r>
      <w:r>
        <w:t xml:space="preserve"> </w:t>
      </w:r>
      <w:r>
        <w:t xml:space="preserve">— variance logic survives staff turnover.</w:t>
      </w:r>
      <w:r>
        <w:br/>
      </w:r>
    </w:p>
    <w:p>
      <w:pPr>
        <w:pStyle w:val="Compact"/>
        <w:numPr>
          <w:ilvl w:val="0"/>
          <w:numId w:val="1002"/>
        </w:numPr>
      </w:pPr>
      <w:r>
        <w:rPr>
          <w:b/>
          <w:bCs/>
        </w:rPr>
        <w:t xml:space="preserve">Consent continuity</w:t>
      </w:r>
      <w:r>
        <w:t xml:space="preserve"> </w:t>
      </w:r>
      <w:r>
        <w:t xml:space="preserve">— cross-entity access requires explicit authorization.</w:t>
      </w:r>
      <w:r>
        <w:br/>
      </w:r>
    </w:p>
    <w:p>
      <w:pPr>
        <w:pStyle w:val="Compact"/>
        <w:numPr>
          <w:ilvl w:val="0"/>
          <w:numId w:val="1002"/>
        </w:numPr>
      </w:pPr>
      <w:r>
        <w:rPr>
          <w:b/>
          <w:bCs/>
        </w:rPr>
        <w:t xml:space="preserve">Legibility</w:t>
      </w:r>
      <w:r>
        <w:t xml:space="preserve"> </w:t>
      </w:r>
      <w:r>
        <w:t xml:space="preserve">— every override and rule change is reviewable.</w:t>
      </w:r>
      <w:r>
        <w:br/>
      </w:r>
    </w:p>
    <w:p>
      <w:pPr>
        <w:pStyle w:val="Compact"/>
        <w:numPr>
          <w:ilvl w:val="0"/>
          <w:numId w:val="1002"/>
        </w:numPr>
      </w:pPr>
      <w:r>
        <w:rPr>
          <w:b/>
          <w:bCs/>
        </w:rPr>
        <w:t xml:space="preserve">Reversibility</w:t>
      </w:r>
      <w:r>
        <w:t xml:space="preserve"> </w:t>
      </w:r>
      <w:r>
        <w:t xml:space="preserve">— conditional rules can be scoped, monitored, or rolled back.</w:t>
      </w:r>
      <w:r>
        <w:br/>
      </w:r>
    </w:p>
    <w:p>
      <w:pPr>
        <w:pStyle w:val="Compact"/>
        <w:numPr>
          <w:ilvl w:val="0"/>
          <w:numId w:val="1002"/>
        </w:numPr>
      </w:pPr>
      <w:r>
        <w:rPr>
          <w:b/>
          <w:bCs/>
        </w:rPr>
        <w:t xml:space="preserve">Power-proportionate governance</w:t>
      </w:r>
      <w:r>
        <w:t xml:space="preserve"> </w:t>
      </w:r>
      <w:r>
        <w:t xml:space="preserve">— permanent rule updates require appropriate approval.</w:t>
      </w:r>
    </w:p>
    <w:p>
      <w:pPr>
        <w:pStyle w:val="FirstParagraph"/>
      </w:pPr>
      <w:r>
        <w:t xml:space="preserve">In other words, the AI is not the system.</w:t>
      </w:r>
      <w:r>
        <w:t xml:space="preserve"> </w:t>
      </w:r>
      <w:r>
        <w:t xml:space="preserve">The governance context is the system.</w:t>
      </w:r>
    </w:p>
    <w:p>
      <w:pPr>
        <w:pStyle w:val="BodyText"/>
      </w:pPr>
      <w:r>
        <w:t xml:space="preserve">The conversation below shows what accounting looks like when capability is embedded inside durable, constitutional structure rather than layered on top of informal practice.</w:t>
      </w:r>
    </w:p>
    <w:p>
      <w:r>
        <w:pict>
          <v:rect style="width:0;height:1.5pt" o:hralign="center" o:hrstd="t" o:hr="t"/>
        </w:pict>
      </w:r>
    </w:p>
    <w:bookmarkEnd w:id="20"/>
    <w:bookmarkStart w:id="22" w:name="conversation"/>
    <w:p>
      <w:pPr>
        <w:pStyle w:val="Heading2"/>
      </w:pPr>
      <w:r>
        <w:t xml:space="preserve">Conversation</w:t>
      </w:r>
    </w:p>
    <w:p>
      <w:pPr>
        <w:pStyle w:val="FirstParagraph"/>
      </w:pPr>
      <w:r>
        <w:rPr>
          <w:b/>
          <w:bCs/>
        </w:rPr>
        <w:t xml:space="preserve">Accounting Manager:</w:t>
      </w:r>
      <w:r>
        <w:t xml:space="preserve"> </w:t>
      </w:r>
      <w:r>
        <w:t xml:space="preserve">Good morning. How are we looking today?</w:t>
      </w:r>
    </w:p>
    <w:p>
      <w:pPr>
        <w:pStyle w:val="BodyText"/>
      </w:pPr>
      <w:r>
        <w:rPr>
          <w:b/>
          <w:bCs/>
        </w:rPr>
        <w:t xml:space="preserve">GL-AI:</w:t>
      </w:r>
      <w:r>
        <w:t xml:space="preserve"> </w:t>
      </w:r>
      <w:r>
        <w:t xml:space="preserve">Good morning. Current transactional processing capacity is at 82%. Based on scheduled client onboarding next week, projected utilization will increase to approximately 86%.</w:t>
      </w:r>
    </w:p>
    <w:p>
      <w:pPr>
        <w:pStyle w:val="BodyText"/>
      </w:pPr>
      <w:r>
        <w:t xml:space="preserve">All utilization projections are based on the currently approved workflow configuration (Version 3.2 — effective 2026-01-01).</w:t>
      </w:r>
    </w:p>
    <w:p>
      <w:pPr>
        <w:pStyle w:val="BodyText"/>
      </w:pPr>
      <w:r>
        <w:rPr>
          <w:b/>
          <w:bCs/>
        </w:rPr>
        <w:t xml:space="preserve">Accounting Manager:</w:t>
      </w:r>
      <w:r>
        <w:t xml:space="preserve"> </w:t>
      </w:r>
      <w:r>
        <w:t xml:space="preserve">I have some availability this afternoon. Are there any exception trends I should review?</w:t>
      </w:r>
    </w:p>
    <w:p>
      <w:pPr>
        <w:pStyle w:val="BodyText"/>
      </w:pPr>
      <w:r>
        <w:rPr>
          <w:b/>
          <w:bCs/>
        </w:rPr>
        <w:t xml:space="preserve">GL-AI:</w:t>
      </w:r>
      <w:r>
        <w:t xml:space="preserve"> </w:t>
      </w:r>
      <w:r>
        <w:t xml:space="preserve">Yes. There has been an increase in failed invoice scan conversions for Client: Rainmaker LLC. This week, 17% of submitted invoices failed initial OCR classification and required manual intervention.</w:t>
      </w:r>
    </w:p>
    <w:p>
      <w:pPr>
        <w:pStyle w:val="BodyText"/>
      </w:pPr>
      <w:r>
        <w:t xml:space="preserve">This exceeds the firm’s soft alert threshold of 10% but remains below the material operational disruption threshold of 25%.</w:t>
      </w:r>
    </w:p>
    <w:p>
      <w:pPr>
        <w:pStyle w:val="BodyText"/>
      </w:pPr>
      <w:r>
        <w:t xml:space="preserve">The majority of failures are associated with two newly onboarded local vendors whose invoice formats do not conform to standard templates.</w:t>
      </w:r>
    </w:p>
    <w:p>
      <w:pPr>
        <w:pStyle w:val="BodyText"/>
      </w:pPr>
      <w:r>
        <w:t xml:space="preserve">An exception log has been maintained under Incident ID: RM-INV-0226.</w:t>
      </w:r>
    </w:p>
    <w:p>
      <w:pPr>
        <w:pStyle w:val="BodyText"/>
      </w:pPr>
      <w:r>
        <w:rPr>
          <w:b/>
          <w:bCs/>
        </w:rPr>
        <w:t xml:space="preserve">Accounting Manager:</w:t>
      </w:r>
      <w:r>
        <w:t xml:space="preserve"> </w:t>
      </w:r>
      <w:r>
        <w:t xml:space="preserve">How were those exceptions resolved? If this is isolated to a couple of vendors, we may be able to contain it.</w:t>
      </w:r>
    </w:p>
    <w:p>
      <w:pPr>
        <w:pStyle w:val="BodyText"/>
      </w:pPr>
      <w:r>
        <w:rPr>
          <w:b/>
          <w:bCs/>
        </w:rPr>
        <w:t xml:space="preserve">GL-AI:</w:t>
      </w:r>
      <w:r>
        <w:t xml:space="preserve"> </w:t>
      </w:r>
      <w:r>
        <w:t xml:space="preserve">Of the failed invoices:</w:t>
      </w:r>
    </w:p>
    <w:p>
      <w:pPr>
        <w:pStyle w:val="Compact"/>
        <w:numPr>
          <w:ilvl w:val="0"/>
          <w:numId w:val="1003"/>
        </w:numPr>
      </w:pPr>
      <w:r>
        <w:t xml:space="preserve">82% originated from Vendor A and Vendor B.</w:t>
      </w:r>
    </w:p>
    <w:p>
      <w:pPr>
        <w:pStyle w:val="Compact"/>
        <w:numPr>
          <w:ilvl w:val="0"/>
          <w:numId w:val="1003"/>
        </w:numPr>
      </w:pPr>
      <w:r>
        <w:t xml:space="preserve">All but one exception was resolved through manual verification and matching to supporting itemization (purchase orders and job cost detail).</w:t>
      </w:r>
    </w:p>
    <w:p>
      <w:pPr>
        <w:pStyle w:val="Compact"/>
        <w:numPr>
          <w:ilvl w:val="0"/>
          <w:numId w:val="1003"/>
        </w:numPr>
      </w:pPr>
      <w:r>
        <w:t xml:space="preserve">No material misstatements were identified under the firm’s defined variance tolerance (±1%).</w:t>
      </w:r>
    </w:p>
    <w:p>
      <w:pPr>
        <w:pStyle w:val="FirstParagraph"/>
      </w:pPr>
      <w:r>
        <w:t xml:space="preserve">All manual interventions were logged with staff attribution and timestamp.</w:t>
      </w:r>
    </w:p>
    <w:p>
      <w:pPr>
        <w:pStyle w:val="BodyText"/>
      </w:pPr>
      <w:r>
        <w:t xml:space="preserve">The root cause appears to be inconsistent line-item formatting and subtotal placement, which reduces OCR confidence scores below the firm’s auto-post threshold of 94%.</w:t>
      </w:r>
    </w:p>
    <w:p>
      <w:pPr>
        <w:pStyle w:val="BodyText"/>
      </w:pPr>
      <w:r>
        <w:rPr>
          <w:b/>
          <w:bCs/>
        </w:rPr>
        <w:t xml:space="preserve">Accounting Manager:</w:t>
      </w:r>
      <w:r>
        <w:t xml:space="preserve"> </w:t>
      </w:r>
      <w:r>
        <w:t xml:space="preserve">Is this vendor providing services to the Tribe entities as well?</w:t>
      </w:r>
    </w:p>
    <w:p>
      <w:pPr>
        <w:pStyle w:val="BodyText"/>
      </w:pPr>
      <w:r>
        <w:rPr>
          <w:b/>
          <w:bCs/>
        </w:rPr>
        <w:t xml:space="preserve">GL-AI:</w:t>
      </w:r>
      <w:r>
        <w:t xml:space="preserve"> </w:t>
      </w:r>
      <w:r>
        <w:t xml:space="preserve">I do not currently have cross-entity visibility into Tribe financials.</w:t>
      </w:r>
    </w:p>
    <w:p>
      <w:pPr>
        <w:pStyle w:val="BodyText"/>
      </w:pPr>
      <w:r>
        <w:t xml:space="preserve">Access to Tribe data requires explicit authorization due to entity-boundary controls.</w:t>
      </w:r>
    </w:p>
    <w:p>
      <w:pPr>
        <w:pStyle w:val="BodyText"/>
      </w:pPr>
      <w:r>
        <w:t xml:space="preserve">If you would like me to evaluate cross-entity patterns, please authorize temporary access.</w:t>
      </w:r>
    </w:p>
    <w:p>
      <w:pPr>
        <w:pStyle w:val="BodyText"/>
      </w:pPr>
      <w:r>
        <w:t xml:space="preserve">ACCESS REQUEST CODE: AO-88H5TN</w:t>
      </w:r>
      <w:r>
        <w:br/>
      </w:r>
      <w:r>
        <w:t xml:space="preserve">Scope: Vendor-level invoice metadata only</w:t>
      </w:r>
      <w:r>
        <w:br/>
      </w:r>
      <w:r>
        <w:t xml:space="preserve">Duration: Single-session review</w:t>
      </w:r>
      <w:r>
        <w:br/>
      </w:r>
      <w:r>
        <w:t xml:space="preserve">Audit Log Entry: Pending authorization</w:t>
      </w:r>
    </w:p>
    <w:p>
      <w:pPr>
        <w:pStyle w:val="BodyText"/>
      </w:pPr>
      <w:r>
        <w:rPr>
          <w:b/>
          <w:bCs/>
        </w:rPr>
        <w:t xml:space="preserve">Accounting Manager:</w:t>
      </w:r>
      <w:r>
        <w:t xml:space="preserve"> </w:t>
      </w:r>
      <w:r>
        <w:t xml:space="preserve">Authorization granted. Proceed.</w:t>
      </w:r>
    </w:p>
    <w:p>
      <w:pPr>
        <w:pStyle w:val="BodyText"/>
      </w:pPr>
      <w:r>
        <w:rPr>
          <w:b/>
          <w:bCs/>
        </w:rPr>
        <w:t xml:space="preserve">GL-AI:</w:t>
      </w:r>
      <w:r>
        <w:t xml:space="preserve"> </w:t>
      </w:r>
      <w:r>
        <w:t xml:space="preserve">Authorization token verified. Scope confirmed. Access window opened.</w:t>
      </w:r>
    </w:p>
    <w:p>
      <w:pPr>
        <w:pStyle w:val="BodyText"/>
      </w:pPr>
      <w:r>
        <w:t xml:space="preserve">Audit Log Entry: AO-88H5TN executed by Accounting Manager at 10:42 AM.</w:t>
      </w:r>
    </w:p>
    <w:p>
      <w:pPr>
        <w:pStyle w:val="BodyText"/>
      </w:pPr>
      <w:r>
        <w:t xml:space="preserve">Yes. The same vendor has submitted invoices to three additional entities, including Tribe Holdings. Similar OCR confidence degradation and formatting inconsistencies were observed across all entities.</w:t>
      </w:r>
    </w:p>
    <w:p>
      <w:pPr>
        <w:pStyle w:val="BodyText"/>
      </w:pPr>
      <w:r>
        <w:t xml:space="preserve">No cross-entity financial materiality breach detected.</w:t>
      </w:r>
    </w:p>
    <w:p>
      <w:pPr>
        <w:pStyle w:val="BodyText"/>
      </w:pPr>
      <w:r>
        <w:rPr>
          <w:b/>
          <w:bCs/>
        </w:rPr>
        <w:t xml:space="preserve">Accounting Manager:</w:t>
      </w:r>
      <w:r>
        <w:t xml:space="preserve"> </w:t>
      </w:r>
      <w:r>
        <w:t xml:space="preserve">What is the aggregate financial variance exposure?</w:t>
      </w:r>
    </w:p>
    <w:p>
      <w:pPr>
        <w:pStyle w:val="BodyText"/>
      </w:pPr>
      <w:r>
        <w:rPr>
          <w:b/>
          <w:bCs/>
        </w:rPr>
        <w:t xml:space="preserve">GL-AI:</w:t>
      </w:r>
      <w:r>
        <w:t xml:space="preserve"> </w:t>
      </w:r>
      <w:r>
        <w:t xml:space="preserve">Across all reviewed entities:</w:t>
      </w:r>
    </w:p>
    <w:p>
      <w:pPr>
        <w:pStyle w:val="Compact"/>
        <w:numPr>
          <w:ilvl w:val="0"/>
          <w:numId w:val="1004"/>
        </w:numPr>
      </w:pPr>
      <w:r>
        <w:t xml:space="preserve">Total potential variance identified: $327</w:t>
      </w:r>
    </w:p>
    <w:p>
      <w:pPr>
        <w:pStyle w:val="Compact"/>
        <w:numPr>
          <w:ilvl w:val="0"/>
          <w:numId w:val="1004"/>
        </w:numPr>
      </w:pPr>
      <w:r>
        <w:t xml:space="preserve">All discrepancies were within established rounding or formatting tolerances.</w:t>
      </w:r>
    </w:p>
    <w:p>
      <w:pPr>
        <w:pStyle w:val="Compact"/>
        <w:numPr>
          <w:ilvl w:val="0"/>
          <w:numId w:val="1004"/>
        </w:numPr>
      </w:pPr>
      <w:r>
        <w:t xml:space="preserve">No systemic overbilling pattern detected.</w:t>
      </w:r>
    </w:p>
    <w:p>
      <w:pPr>
        <w:pStyle w:val="FirstParagraph"/>
      </w:pPr>
      <w:r>
        <w:t xml:space="preserve">Operational impact:</w:t>
      </w:r>
    </w:p>
    <w:p>
      <w:pPr>
        <w:pStyle w:val="Compact"/>
        <w:numPr>
          <w:ilvl w:val="0"/>
          <w:numId w:val="1005"/>
        </w:numPr>
      </w:pPr>
      <w:r>
        <w:t xml:space="preserve">7.2 staff hours spent on manual exception handling.</w:t>
      </w:r>
    </w:p>
    <w:p>
      <w:pPr>
        <w:pStyle w:val="Compact"/>
        <w:numPr>
          <w:ilvl w:val="0"/>
          <w:numId w:val="1005"/>
        </w:numPr>
      </w:pPr>
      <w:r>
        <w:t xml:space="preserve">At a blended billable rate of $85/hour, this represents $612 in labor allocation.</w:t>
      </w:r>
    </w:p>
    <w:p>
      <w:pPr>
        <w:pStyle w:val="FirstParagraph"/>
      </w:pPr>
      <w:r>
        <w:t xml:space="preserve">Net effect: Operational friction exceeds financial variance.</w:t>
      </w:r>
    </w:p>
    <w:p>
      <w:pPr>
        <w:pStyle w:val="BodyText"/>
      </w:pPr>
      <w:r>
        <w:t xml:space="preserve">This event is classified as Process Inefficiency — Non-Material (Level 2).</w:t>
      </w:r>
    </w:p>
    <w:p>
      <w:pPr>
        <w:pStyle w:val="BodyText"/>
      </w:pPr>
      <w:r>
        <w:rPr>
          <w:b/>
          <w:bCs/>
        </w:rPr>
        <w:t xml:space="preserve">Accounting Manager:</w:t>
      </w:r>
      <w:r>
        <w:t xml:space="preserve"> </w:t>
      </w:r>
      <w:r>
        <w:t xml:space="preserve">Understood. Prepare a summary I can share with the other managers. Include a recommended process modification.</w:t>
      </w:r>
    </w:p>
    <w:p>
      <w:pPr>
        <w:pStyle w:val="BodyText"/>
      </w:pPr>
      <w:r>
        <w:rPr>
          <w:b/>
          <w:bCs/>
        </w:rPr>
        <w:t xml:space="preserve">GL-AI:</w:t>
      </w:r>
      <w:r>
        <w:t xml:space="preserve"> </w:t>
      </w:r>
      <w:r>
        <w:t xml:space="preserve">Summary prepared. Recommendations are structured as a reversible configuration proposal (Draft Rule Set 3.2-A).</w:t>
      </w:r>
    </w:p>
    <w:bookmarkStart w:id="21" w:name="proposed-process-modification"/>
    <w:p>
      <w:pPr>
        <w:pStyle w:val="Heading3"/>
      </w:pPr>
      <w:r>
        <w:t xml:space="preserve">Proposed Process Modification</w:t>
      </w:r>
    </w:p>
    <w:p>
      <w:pPr>
        <w:numPr>
          <w:ilvl w:val="0"/>
          <w:numId w:val="1006"/>
        </w:numPr>
      </w:pPr>
      <w:r>
        <w:rPr>
          <w:b/>
          <w:bCs/>
        </w:rPr>
        <w:t xml:space="preserve">Vendor Template Standardization Notice</w:t>
      </w:r>
      <w:r>
        <w:br/>
      </w:r>
      <w:r>
        <w:t xml:space="preserve">Issue a formatting guide to Vendor A and Vendor B requiring standardized subtotal placement and consistent line-item labeling.</w:t>
      </w:r>
    </w:p>
    <w:p>
      <w:pPr>
        <w:numPr>
          <w:ilvl w:val="0"/>
          <w:numId w:val="1006"/>
        </w:numPr>
      </w:pPr>
      <w:r>
        <w:rPr>
          <w:b/>
          <w:bCs/>
        </w:rPr>
        <w:t xml:space="preserve">Conditional Auto-Validation Rule (Scoped Pilot)</w:t>
      </w:r>
      <w:r>
        <w:br/>
      </w:r>
      <w:r>
        <w:t xml:space="preserve">For this vendor only:</w:t>
      </w:r>
    </w:p>
    <w:p>
      <w:pPr>
        <w:pStyle w:val="Compact"/>
        <w:numPr>
          <w:ilvl w:val="1"/>
          <w:numId w:val="1007"/>
        </w:numPr>
      </w:pPr>
      <w:r>
        <w:t xml:space="preserve">If invoice total matches approved purchase order within ±1% tolerance,</w:t>
      </w:r>
    </w:p>
    <w:p>
      <w:pPr>
        <w:pStyle w:val="Compact"/>
        <w:numPr>
          <w:ilvl w:val="1"/>
          <w:numId w:val="1007"/>
        </w:numPr>
      </w:pPr>
      <w:r>
        <w:t xml:space="preserve">And itemization matches prior verified structure,</w:t>
      </w:r>
    </w:p>
    <w:p>
      <w:pPr>
        <w:pStyle w:val="Compact"/>
        <w:numPr>
          <w:ilvl w:val="1"/>
          <w:numId w:val="1007"/>
        </w:numPr>
      </w:pPr>
      <w:r>
        <w:t xml:space="preserve">And OCR confidence score exceeds 90%,</w:t>
      </w:r>
      <w:r>
        <w:t xml:space="preserve"> </w:t>
      </w:r>
      <w:r>
        <w:t xml:space="preserve">Then route as</w:t>
      </w:r>
      <w:r>
        <w:t xml:space="preserve"> </w:t>
      </w:r>
      <w:r>
        <w:t xml:space="preserve">“Low-Risk Exception”</w:t>
      </w:r>
      <w:r>
        <w:t xml:space="preserve"> </w:t>
      </w:r>
      <w:r>
        <w:t xml:space="preserve">for reduced manual review.</w:t>
      </w:r>
    </w:p>
    <w:p>
      <w:pPr>
        <w:numPr>
          <w:ilvl w:val="0"/>
          <w:numId w:val="1000"/>
        </w:numPr>
      </w:pPr>
      <w:r>
        <w:t xml:space="preserve">This rule will be:</w:t>
      </w:r>
    </w:p>
    <w:p>
      <w:pPr>
        <w:pStyle w:val="Compact"/>
        <w:numPr>
          <w:ilvl w:val="1"/>
          <w:numId w:val="1008"/>
        </w:numPr>
      </w:pPr>
      <w:r>
        <w:t xml:space="preserve">Time-bound (90-day pilot)</w:t>
      </w:r>
    </w:p>
    <w:p>
      <w:pPr>
        <w:pStyle w:val="Compact"/>
        <w:numPr>
          <w:ilvl w:val="1"/>
          <w:numId w:val="1008"/>
        </w:numPr>
      </w:pPr>
      <w:r>
        <w:t xml:space="preserve">Auto-expiring unless renewed</w:t>
      </w:r>
    </w:p>
    <w:p>
      <w:pPr>
        <w:pStyle w:val="Compact"/>
        <w:numPr>
          <w:ilvl w:val="1"/>
          <w:numId w:val="1008"/>
        </w:numPr>
      </w:pPr>
      <w:r>
        <w:t xml:space="preserve">Fully logged for performance review</w:t>
      </w:r>
    </w:p>
    <w:p>
      <w:pPr>
        <w:numPr>
          <w:ilvl w:val="0"/>
          <w:numId w:val="1006"/>
        </w:numPr>
      </w:pPr>
      <w:r>
        <w:rPr>
          <w:b/>
          <w:bCs/>
        </w:rPr>
        <w:t xml:space="preserve">Monitoring Guardrails</w:t>
      </w:r>
    </w:p>
    <w:p>
      <w:pPr>
        <w:pStyle w:val="Compact"/>
        <w:numPr>
          <w:ilvl w:val="1"/>
          <w:numId w:val="1009"/>
        </w:numPr>
      </w:pPr>
      <w:r>
        <w:t xml:space="preserve">Quarterly variance audit for this vendor.</w:t>
      </w:r>
    </w:p>
    <w:p>
      <w:pPr>
        <w:pStyle w:val="Compact"/>
        <w:numPr>
          <w:ilvl w:val="1"/>
          <w:numId w:val="1009"/>
        </w:numPr>
      </w:pPr>
      <w:r>
        <w:t xml:space="preserve">Automatic escalation if cumulative variance exceeds $1,000 or tolerance band.</w:t>
      </w:r>
    </w:p>
    <w:p>
      <w:pPr>
        <w:pStyle w:val="Compact"/>
        <w:numPr>
          <w:ilvl w:val="1"/>
          <w:numId w:val="1009"/>
        </w:numPr>
      </w:pPr>
      <w:r>
        <w:t xml:space="preserve">Immediate rollback trigger if misstatement exceeds defined materiality.</w:t>
      </w:r>
    </w:p>
    <w:p>
      <w:pPr>
        <w:numPr>
          <w:ilvl w:val="0"/>
          <w:numId w:val="1006"/>
        </w:numPr>
      </w:pPr>
      <w:r>
        <w:rPr>
          <w:b/>
          <w:bCs/>
        </w:rPr>
        <w:t xml:space="preserve">Governance Controls</w:t>
      </w:r>
    </w:p>
    <w:p>
      <w:pPr>
        <w:pStyle w:val="Compact"/>
        <w:numPr>
          <w:ilvl w:val="1"/>
          <w:numId w:val="1010"/>
        </w:numPr>
      </w:pPr>
      <w:r>
        <w:t xml:space="preserve">Department-level override codes available for temporary adoption.</w:t>
      </w:r>
    </w:p>
    <w:p>
      <w:pPr>
        <w:pStyle w:val="Compact"/>
        <w:numPr>
          <w:ilvl w:val="1"/>
          <w:numId w:val="1010"/>
        </w:numPr>
      </w:pPr>
      <w:r>
        <w:t xml:space="preserve">Permanent rule update requires partner-level approval.</w:t>
      </w:r>
    </w:p>
    <w:p>
      <w:pPr>
        <w:pStyle w:val="Compact"/>
        <w:numPr>
          <w:ilvl w:val="1"/>
          <w:numId w:val="1010"/>
        </w:numPr>
      </w:pPr>
      <w:r>
        <w:t xml:space="preserve">All rule modifications recorded in configuration history with version control.</w:t>
      </w:r>
    </w:p>
    <w:p>
      <w:pPr>
        <w:pStyle w:val="FirstParagraph"/>
      </w:pPr>
      <w:r>
        <w:t xml:space="preserve">A briefing file has been generated including:</w:t>
      </w:r>
    </w:p>
    <w:p>
      <w:pPr>
        <w:pStyle w:val="Compact"/>
        <w:numPr>
          <w:ilvl w:val="0"/>
          <w:numId w:val="1011"/>
        </w:numPr>
      </w:pPr>
      <w:r>
        <w:t xml:space="preserve">Financial impact summary</w:t>
      </w:r>
    </w:p>
    <w:p>
      <w:pPr>
        <w:pStyle w:val="Compact"/>
        <w:numPr>
          <w:ilvl w:val="0"/>
          <w:numId w:val="1011"/>
        </w:numPr>
      </w:pPr>
      <w:r>
        <w:t xml:space="preserve">Labor impact analysis</w:t>
      </w:r>
    </w:p>
    <w:p>
      <w:pPr>
        <w:pStyle w:val="Compact"/>
        <w:numPr>
          <w:ilvl w:val="0"/>
          <w:numId w:val="1011"/>
        </w:numPr>
      </w:pPr>
      <w:r>
        <w:t xml:space="preserve">Cross-entity trend review</w:t>
      </w:r>
    </w:p>
    <w:p>
      <w:pPr>
        <w:pStyle w:val="Compact"/>
        <w:numPr>
          <w:ilvl w:val="0"/>
          <w:numId w:val="1011"/>
        </w:numPr>
      </w:pPr>
      <w:r>
        <w:t xml:space="preserve">Proposed rule logic (machine-readable format)</w:t>
      </w:r>
    </w:p>
    <w:p>
      <w:pPr>
        <w:pStyle w:val="Compact"/>
        <w:numPr>
          <w:ilvl w:val="0"/>
          <w:numId w:val="1011"/>
        </w:numPr>
      </w:pPr>
      <w:r>
        <w:t xml:space="preserve">Risk boundaries and escalation triggers</w:t>
      </w:r>
    </w:p>
    <w:p>
      <w:pPr>
        <w:pStyle w:val="Compact"/>
        <w:numPr>
          <w:ilvl w:val="0"/>
          <w:numId w:val="1011"/>
        </w:numPr>
      </w:pPr>
      <w:r>
        <w:t xml:space="preserve">Rollback conditions and audit references</w:t>
      </w:r>
    </w:p>
    <w:p>
      <w:pPr>
        <w:pStyle w:val="FirstParagraph"/>
      </w:pPr>
      <w:r>
        <w:t xml:space="preserve">Would you like this scheduled for discussion at the next operations review meeting?</w:t>
      </w:r>
    </w:p>
    <w:p>
      <w:r>
        <w:pict>
          <v:rect style="width:0;height:1.5pt" o:hralign="center" o:hrstd="t" o:hr="t"/>
        </w:pict>
      </w:r>
    </w:p>
    <w:bookmarkEnd w:id="21"/>
    <w:bookmarkEnd w:id="22"/>
    <w:bookmarkStart w:id="23" w:name="about-continuity-office"/>
    <w:p>
      <w:pPr>
        <w:pStyle w:val="Heading2"/>
      </w:pPr>
      <w:r>
        <w:t xml:space="preserve">About Continuity Office</w:t>
      </w:r>
    </w:p>
    <w:p>
      <w:pPr>
        <w:pStyle w:val="FirstParagraph"/>
      </w:pPr>
      <w:r>
        <w:rPr>
          <w:b/>
          <w:bCs/>
        </w:rPr>
        <w:t xml:space="preserve">ContinuityOffice.com</w:t>
      </w:r>
      <w:r>
        <w:t xml:space="preserve"> </w:t>
      </w:r>
      <w:r>
        <w:t xml:space="preserve">provides a constitutional operating layer for organizations navigating AI and structural change.</w:t>
      </w:r>
    </w:p>
    <w:p>
      <w:pPr>
        <w:pStyle w:val="BodyText"/>
      </w:pPr>
      <w:r>
        <w:t xml:space="preserve">Continuity does not manage your documents.</w:t>
      </w:r>
      <w:r>
        <w:br/>
      </w:r>
      <w:r>
        <w:t xml:space="preserve">It does not enforce compliance.</w:t>
      </w:r>
      <w:r>
        <w:br/>
      </w:r>
      <w:r>
        <w:t xml:space="preserve">It does not control decisions.</w:t>
      </w:r>
    </w:p>
    <w:p>
      <w:pPr>
        <w:pStyle w:val="BodyText"/>
      </w:pPr>
      <w:r>
        <w:t xml:space="preserve">It preserves five invariants across time:</w:t>
      </w:r>
    </w:p>
    <w:p>
      <w:pPr>
        <w:pStyle w:val="Compact"/>
        <w:numPr>
          <w:ilvl w:val="0"/>
          <w:numId w:val="1012"/>
        </w:numPr>
      </w:pPr>
      <w:r>
        <w:rPr>
          <w:b/>
          <w:bCs/>
        </w:rPr>
        <w:t xml:space="preserve">Intent persistence</w:t>
      </w:r>
      <w:r>
        <w:t xml:space="preserve"> </w:t>
      </w:r>
      <w:r>
        <w:t xml:space="preserve">— rationale survives authors</w:t>
      </w:r>
      <w:r>
        <w:br/>
      </w:r>
    </w:p>
    <w:p>
      <w:pPr>
        <w:pStyle w:val="Compact"/>
        <w:numPr>
          <w:ilvl w:val="0"/>
          <w:numId w:val="1012"/>
        </w:numPr>
      </w:pPr>
      <w:r>
        <w:rPr>
          <w:b/>
          <w:bCs/>
        </w:rPr>
        <w:t xml:space="preserve">Consent continuity</w:t>
      </w:r>
      <w:r>
        <w:t xml:space="preserve"> </w:t>
      </w:r>
      <w:r>
        <w:t xml:space="preserve">— permission survives transformation</w:t>
      </w:r>
      <w:r>
        <w:br/>
      </w:r>
    </w:p>
    <w:p>
      <w:pPr>
        <w:pStyle w:val="Compact"/>
        <w:numPr>
          <w:ilvl w:val="0"/>
          <w:numId w:val="1012"/>
        </w:numPr>
      </w:pPr>
      <w:r>
        <w:rPr>
          <w:b/>
          <w:bCs/>
        </w:rPr>
        <w:t xml:space="preserve">Legibility</w:t>
      </w:r>
      <w:r>
        <w:t xml:space="preserve"> </w:t>
      </w:r>
      <w:r>
        <w:t xml:space="preserve">— systems remain explainable to non-initiates</w:t>
      </w:r>
      <w:r>
        <w:br/>
      </w:r>
    </w:p>
    <w:p>
      <w:pPr>
        <w:pStyle w:val="Compact"/>
        <w:numPr>
          <w:ilvl w:val="0"/>
          <w:numId w:val="1012"/>
        </w:numPr>
      </w:pPr>
      <w:r>
        <w:rPr>
          <w:b/>
          <w:bCs/>
        </w:rPr>
        <w:t xml:space="preserve">Reversibility</w:t>
      </w:r>
      <w:r>
        <w:t xml:space="preserve"> </w:t>
      </w:r>
      <w:r>
        <w:t xml:space="preserve">— exit and rollback narratives exist</w:t>
      </w:r>
      <w:r>
        <w:br/>
      </w:r>
    </w:p>
    <w:p>
      <w:pPr>
        <w:pStyle w:val="Compact"/>
        <w:numPr>
          <w:ilvl w:val="0"/>
          <w:numId w:val="1012"/>
        </w:numPr>
      </w:pPr>
      <w:r>
        <w:rPr>
          <w:b/>
          <w:bCs/>
        </w:rPr>
        <w:t xml:space="preserve">Power-proportionate governance</w:t>
      </w:r>
      <w:r>
        <w:t xml:space="preserve"> </w:t>
      </w:r>
      <w:r>
        <w:t xml:space="preserve">— controls match system impact</w:t>
      </w:r>
    </w:p>
    <w:p>
      <w:pPr>
        <w:pStyle w:val="FirstParagraph"/>
      </w:pPr>
      <w:r>
        <w:t xml:space="preserve">In an AI-augmented accounting environment, structured context is the difference between automation and amplification.</w:t>
      </w:r>
    </w:p>
    <w:p>
      <w:pPr>
        <w:pStyle w:val="BodyText"/>
      </w:pPr>
      <w:r>
        <w:t xml:space="preserve">Continuity ensures that operational logic, exception rules, and governance boundaries remain durable, legible, and stress-tested.</w:t>
      </w:r>
    </w:p>
    <w:p>
      <w:pPr>
        <w:pStyle w:val="BodyText"/>
      </w:pPr>
      <w:r>
        <w:t xml:space="preserve">Continuity illuminates consequences.</w:t>
      </w:r>
      <w:r>
        <w:br/>
      </w:r>
      <w:r>
        <w:t xml:space="preserve">Leadership decides.</w:t>
      </w:r>
    </w:p>
    <w:p>
      <w:r>
        <w:pict>
          <v:rect style="width:0;height:1.5pt" o:hralign="center" o:hrstd="t" o:hr="t"/>
        </w:pict>
      </w:r>
    </w:p>
    <w:bookmarkEnd w:id="23"/>
    <w:bookmarkStart w:id="24" w:name="learn-more"/>
    <w:p>
      <w:pPr>
        <w:pStyle w:val="Heading2"/>
      </w:pPr>
      <w:r>
        <w:t xml:space="preserve">Learn More</w:t>
      </w:r>
    </w:p>
    <w:p>
      <w:pPr>
        <w:pStyle w:val="FirstParagraph"/>
      </w:pPr>
      <w:r>
        <w:t xml:space="preserve">To explore how AI workers can operate inside governed, machine-readable accounting context:</w:t>
      </w:r>
    </w:p>
    <w:p>
      <w:pPr>
        <w:pStyle w:val="BodyText"/>
      </w:pPr>
      <w:r>
        <w:rPr>
          <w:b/>
          <w:bCs/>
        </w:rPr>
        <w:t xml:space="preserve">ContinuityOffice.com</w:t>
      </w:r>
      <w:r>
        <w:br/>
      </w:r>
      <w:r>
        <w:t xml:space="preserve">📩 info@continuityoffice.com</w:t>
      </w:r>
    </w:p>
    <w:p>
      <w:pPr>
        <w:pStyle w:val="BodyText"/>
      </w:pPr>
      <w:r>
        <w:t xml:space="preserve">© 2026 Continuity Office. All rights reserved.</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2026-03-02T15:03:33Z</dcterms:created>
  <dcterms:modified xsi:type="dcterms:W3CDTF">2026-03-02T15:03:33Z</dcterms:modified>
</cp:coreProperties>
</file>

<file path=docProps/custom.xml><?xml version="1.0" encoding="utf-8"?>
<Properties xmlns="http://schemas.openxmlformats.org/officeDocument/2006/custom-properties" xmlns:vt="http://schemas.openxmlformats.org/officeDocument/2006/docPropsVTypes"/>
</file>