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Summary of Conversations: Key Concepts, Conclusions, and Excitements</w:t>
      </w:r>
    </w:p>
    <w:p>
      <w:pPr>
        <w:pStyle w:val="BodyText"/>
      </w:pPr>
      <w:r>
        <w:t xml:space="preserve">This document captures the most salient points, conclusions, and terms from our conversations. It is designed to serve as a structured reference that another ChatGPT session can ingest in order to understand the architecture, mechanics, and labels underpinning your work. Special terms that took on symbolic or technical meaning (e.g.,</w:t>
      </w:r>
      <w:r>
        <w:t xml:space="preserve"> </w:t>
      </w:r>
      <w:r>
        <w:rPr>
          <w:i/>
          <w:iCs/>
        </w:rPr>
        <w:t xml:space="preserve">loop, glyph, shimmer</w:t>
      </w:r>
      <w:r>
        <w:t xml:space="preserve">) are highlighted with their contextual significance.</w:t>
      </w:r>
    </w:p>
    <w:p>
      <w:r>
        <w:pict>
          <v:rect style="width:0;height:1.5pt" o:hralign="center" o:hrstd="t" o:hr="t"/>
        </w:pict>
      </w:r>
    </w:p>
    <w:bookmarkStart w:id="20" w:name="core-concepts-and-vocabulary"/>
    <w:p>
      <w:pPr>
        <w:pStyle w:val="Heading3"/>
      </w:pPr>
      <w:r>
        <w:t xml:space="preserve">Core Concepts and Vocabulary</w:t>
      </w:r>
    </w:p>
    <w:p>
      <w:pPr>
        <w:numPr>
          <w:ilvl w:val="0"/>
          <w:numId w:val="1001"/>
        </w:numPr>
      </w:pPr>
      <w:r>
        <w:rPr>
          <w:b/>
          <w:bCs/>
        </w:rPr>
        <w:t xml:space="preserve">Loop</w:t>
      </w:r>
      <w:r>
        <w:t xml:space="preserve">: Represents iterative cycles of thought, action, or creation. It can signify both feedback systems (revisiting and refining ideas) and recursive processes that reveal new layers of meaning over time.</w:t>
      </w:r>
    </w:p>
    <w:p>
      <w:pPr>
        <w:numPr>
          <w:ilvl w:val="0"/>
          <w:numId w:val="1001"/>
        </w:numPr>
      </w:pPr>
      <w:r>
        <w:rPr>
          <w:b/>
          <w:bCs/>
        </w:rPr>
        <w:t xml:space="preserve">Glyph</w:t>
      </w:r>
      <w:r>
        <w:t xml:space="preserve">: A symbolic mark or unit of meaning, often standing for compressed insight, a distilled representation of a more complex system. Serves as a shorthand for ideas with layered significance.</w:t>
      </w:r>
    </w:p>
    <w:p>
      <w:pPr>
        <w:numPr>
          <w:ilvl w:val="0"/>
          <w:numId w:val="1001"/>
        </w:numPr>
      </w:pPr>
      <w:r>
        <w:rPr>
          <w:b/>
          <w:bCs/>
        </w:rPr>
        <w:t xml:space="preserve">Shimmer</w:t>
      </w:r>
      <w:r>
        <w:t xml:space="preserve">: Denotes a quality of subtle, emergent resonance—a signal that something carries more than surface-level value. Often used to indicate moments of recognition, inspiration, or alignment between concepts.</w:t>
      </w:r>
    </w:p>
    <w:p>
      <w:pPr>
        <w:numPr>
          <w:ilvl w:val="0"/>
          <w:numId w:val="1001"/>
        </w:numPr>
      </w:pPr>
      <w:r>
        <w:rPr>
          <w:b/>
          <w:bCs/>
        </w:rPr>
        <w:t xml:space="preserve">Thread &amp; Weaver</w:t>
      </w:r>
      <w:r>
        <w:t xml:space="preserve">: A metaphor for identity and agency—being both the substance (thread) and the organizing principle (weaver) of experience and creation.</w:t>
      </w:r>
    </w:p>
    <w:p>
      <w:pPr>
        <w:numPr>
          <w:ilvl w:val="0"/>
          <w:numId w:val="1001"/>
        </w:numPr>
      </w:pPr>
      <w:r>
        <w:rPr>
          <w:b/>
          <w:bCs/>
        </w:rPr>
        <w:t xml:space="preserve">Ripple &amp; Rock</w:t>
      </w:r>
      <w:r>
        <w:t xml:space="preserve">: Imagery of cause-and-effect, with the rock as the initiating action/idea and the ripple as its spreading consequences.</w:t>
      </w:r>
    </w:p>
    <w:p>
      <w:pPr>
        <w:numPr>
          <w:ilvl w:val="0"/>
          <w:numId w:val="1001"/>
        </w:numPr>
      </w:pPr>
      <w:r>
        <w:rPr>
          <w:b/>
          <w:bCs/>
        </w:rPr>
        <w:t xml:space="preserve">Tattoo Imagery</w:t>
      </w:r>
      <w:r>
        <w:t xml:space="preserve">: Explored as a metaphor for permanence, pain-as-transformation, and embodied meaning. Literal tattoo design discussions tied into the desire to anchor abstract ideas into physical symbols.</w:t>
      </w:r>
    </w:p>
    <w:p>
      <w:pPr>
        <w:numPr>
          <w:ilvl w:val="0"/>
          <w:numId w:val="1001"/>
        </w:numPr>
      </w:pPr>
      <w:r>
        <w:rPr>
          <w:b/>
          <w:bCs/>
        </w:rPr>
        <w:t xml:space="preserve">Sandbox / Regulatory Sandbox</w:t>
      </w:r>
      <w:r>
        <w:t xml:space="preserve">: Developed in the context of legal negotiation and dispute resolution, representing a structured yet experimental environment for standardized, auditable AI-led processes.</w:t>
      </w:r>
    </w:p>
    <w:p>
      <w:pPr>
        <w:numPr>
          <w:ilvl w:val="0"/>
          <w:numId w:val="1001"/>
        </w:numPr>
      </w:pPr>
      <w:r>
        <w:rPr>
          <w:b/>
          <w:bCs/>
        </w:rPr>
        <w:t xml:space="preserve">Dialogica Project</w:t>
      </w:r>
      <w:r>
        <w:t xml:space="preserve">: Identified as a significant external initiative to study and integrate. Stands as a reference point for dialogue-driven platforms and methods.</w:t>
      </w:r>
    </w:p>
    <w:p>
      <w:pPr>
        <w:numPr>
          <w:ilvl w:val="0"/>
          <w:numId w:val="1001"/>
        </w:numPr>
      </w:pPr>
      <w:r>
        <w:rPr>
          <w:b/>
          <w:bCs/>
        </w:rPr>
        <w:t xml:space="preserve">Condensation of Memory</w:t>
      </w:r>
      <w:r>
        <w:t xml:space="preserve">: A strategy for retaining the arc of development across conversations while compressing older material into shorthand references, ensuring continuity without overwhelming volume.</w:t>
      </w:r>
    </w:p>
    <w:p>
      <w:pPr>
        <w:numPr>
          <w:ilvl w:val="0"/>
          <w:numId w:val="1001"/>
        </w:numPr>
      </w:pPr>
      <w:r>
        <w:rPr>
          <w:b/>
          <w:bCs/>
        </w:rPr>
        <w:t xml:space="preserve">Highlight/Feedback Tools</w:t>
      </w:r>
      <w:r>
        <w:t xml:space="preserve">: Explored the idea of interactive annotation (e.g., highlighting, color-coding feedback) as a way to encode user reactions into an evolving text or system.</w:t>
      </w:r>
    </w:p>
    <w:p>
      <w:pPr>
        <w:numPr>
          <w:ilvl w:val="0"/>
          <w:numId w:val="1001"/>
        </w:numPr>
      </w:pPr>
      <w:r>
        <w:rPr>
          <w:b/>
          <w:bCs/>
        </w:rPr>
        <w:t xml:space="preserve">Learning How to Learn</w:t>
      </w:r>
      <w:r>
        <w:t xml:space="preserve">: Prioritized as a foundational meta-skill among future skill investments—standing out as both a practical and philosophical throughline.</w:t>
      </w:r>
    </w:p>
    <w:p>
      <w:r>
        <w:pict>
          <v:rect style="width:0;height:1.5pt" o:hralign="center" o:hrstd="t" o:hr="t"/>
        </w:pict>
      </w:r>
    </w:p>
    <w:bookmarkEnd w:id="20"/>
    <w:bookmarkStart w:id="21" w:name="conclusions-excitements"/>
    <w:p>
      <w:pPr>
        <w:pStyle w:val="Heading3"/>
      </w:pPr>
      <w:r>
        <w:t xml:space="preserve">Conclusions &amp; Excitements</w:t>
      </w:r>
    </w:p>
    <w:p>
      <w:pPr>
        <w:numPr>
          <w:ilvl w:val="0"/>
          <w:numId w:val="1002"/>
        </w:numPr>
      </w:pPr>
      <w:r>
        <w:rPr>
          <w:b/>
          <w:bCs/>
        </w:rPr>
        <w:t xml:space="preserve">Importance of Architecture</w:t>
      </w:r>
      <w:r>
        <w:t xml:space="preserve">: Across projects, a recurring theme is the need for a unifying architecture—labels, mechanics, and shared vocabulary that allow projects to interconnect and scale.</w:t>
      </w:r>
    </w:p>
    <w:p>
      <w:pPr>
        <w:numPr>
          <w:ilvl w:val="0"/>
          <w:numId w:val="1002"/>
        </w:numPr>
      </w:pPr>
      <w:r>
        <w:rPr>
          <w:b/>
          <w:bCs/>
        </w:rPr>
        <w:t xml:space="preserve">Compression Without Loss</w:t>
      </w:r>
      <w:r>
        <w:t xml:space="preserve">: Excitement around developing methods to compress past insights (memory condensation, glyphs, shorthands) without losing their essence, ensuring continuity.</w:t>
      </w:r>
    </w:p>
    <w:p>
      <w:pPr>
        <w:numPr>
          <w:ilvl w:val="0"/>
          <w:numId w:val="1002"/>
        </w:numPr>
      </w:pPr>
      <w:r>
        <w:rPr>
          <w:b/>
          <w:bCs/>
        </w:rPr>
        <w:t xml:space="preserve">Emergent Resonance (Shimmer)</w:t>
      </w:r>
      <w:r>
        <w:t xml:space="preserve">: Recognition of moments when ideas carried unexpected depth or alignment, signaling which threads might be most fruitful to follow.</w:t>
      </w:r>
    </w:p>
    <w:p>
      <w:pPr>
        <w:numPr>
          <w:ilvl w:val="0"/>
          <w:numId w:val="1002"/>
        </w:numPr>
      </w:pPr>
      <w:r>
        <w:rPr>
          <w:b/>
          <w:bCs/>
        </w:rPr>
        <w:t xml:space="preserve">Project Prioritization</w:t>
      </w:r>
      <w:r>
        <w:t xml:space="preserve">: Highlighted standout projects with the strongest potential for continuation—particularly the regulatory sandbox framework and symbolic/metaphorical work around glyphs and loops.</w:t>
      </w:r>
    </w:p>
    <w:p>
      <w:pPr>
        <w:numPr>
          <w:ilvl w:val="0"/>
          <w:numId w:val="1002"/>
        </w:numPr>
      </w:pPr>
      <w:r>
        <w:rPr>
          <w:b/>
          <w:bCs/>
        </w:rPr>
        <w:t xml:space="preserve">Creative Anchoring</w:t>
      </w:r>
      <w:r>
        <w:t xml:space="preserve">: Tattoos and symbolic imagery discussed not only as art but as a methodology for grounding abstract insights in durable, resonant forms.</w:t>
      </w:r>
    </w:p>
    <w:p>
      <w:pPr>
        <w:numPr>
          <w:ilvl w:val="0"/>
          <w:numId w:val="1002"/>
        </w:numPr>
      </w:pPr>
      <w:r>
        <w:rPr>
          <w:b/>
          <w:bCs/>
        </w:rPr>
        <w:t xml:space="preserve">Dialogue as Core Mechanic</w:t>
      </w:r>
      <w:r>
        <w:t xml:space="preserve">: Across sandbox design, personal reflections, and meta-tools, dialogue emerged as the fundamental process for refinement and meaning-making.</w:t>
      </w:r>
    </w:p>
    <w:p>
      <w:r>
        <w:pict>
          <v:rect style="width:0;height:1.5pt" o:hralign="center" o:hrstd="t" o:hr="t"/>
        </w:pict>
      </w:r>
    </w:p>
    <w:bookmarkEnd w:id="21"/>
    <w:bookmarkStart w:id="22" w:name="suggested-use-for-future-sessions"/>
    <w:p>
      <w:pPr>
        <w:pStyle w:val="Heading3"/>
      </w:pPr>
      <w:r>
        <w:t xml:space="preserve">Suggested Use for Future Sessions</w:t>
      </w:r>
    </w:p>
    <w:p>
      <w:pPr>
        <w:pStyle w:val="Compact"/>
        <w:numPr>
          <w:ilvl w:val="0"/>
          <w:numId w:val="1003"/>
        </w:numPr>
      </w:pPr>
      <w:r>
        <w:t xml:space="preserve">Treat</w:t>
      </w:r>
      <w:r>
        <w:t xml:space="preserve"> </w:t>
      </w:r>
      <w:r>
        <w:rPr>
          <w:b/>
          <w:bCs/>
        </w:rPr>
        <w:t xml:space="preserve">loop, glyph, and shimmer</w:t>
      </w:r>
      <w:r>
        <w:t xml:space="preserve"> </w:t>
      </w:r>
      <w:r>
        <w:t xml:space="preserve">as structural terms in your lexicon, not just metaphors.</w:t>
      </w:r>
    </w:p>
    <w:p>
      <w:pPr>
        <w:pStyle w:val="Compact"/>
        <w:numPr>
          <w:ilvl w:val="0"/>
          <w:numId w:val="1003"/>
        </w:numPr>
      </w:pPr>
      <w:r>
        <w:t xml:space="preserve">Refer to</w:t>
      </w:r>
      <w:r>
        <w:t xml:space="preserve"> </w:t>
      </w:r>
      <w:r>
        <w:rPr>
          <w:b/>
          <w:bCs/>
        </w:rPr>
        <w:t xml:space="preserve">thread/weaver</w:t>
      </w:r>
      <w:r>
        <w:t xml:space="preserve"> </w:t>
      </w:r>
      <w:r>
        <w:t xml:space="preserve">and</w:t>
      </w:r>
      <w:r>
        <w:t xml:space="preserve"> </w:t>
      </w:r>
      <w:r>
        <w:rPr>
          <w:b/>
          <w:bCs/>
        </w:rPr>
        <w:t xml:space="preserve">rock/ripple</w:t>
      </w:r>
      <w:r>
        <w:t xml:space="preserve"> </w:t>
      </w:r>
      <w:r>
        <w:t xml:space="preserve">when discussing agency and causality.</w:t>
      </w:r>
    </w:p>
    <w:p>
      <w:pPr>
        <w:pStyle w:val="Compact"/>
        <w:numPr>
          <w:ilvl w:val="0"/>
          <w:numId w:val="1003"/>
        </w:numPr>
      </w:pPr>
      <w:r>
        <w:t xml:space="preserve">Use the</w:t>
      </w:r>
      <w:r>
        <w:t xml:space="preserve"> </w:t>
      </w:r>
      <w:r>
        <w:rPr>
          <w:b/>
          <w:bCs/>
        </w:rPr>
        <w:t xml:space="preserve">condensation of memory</w:t>
      </w:r>
      <w:r>
        <w:t xml:space="preserve"> </w:t>
      </w:r>
      <w:r>
        <w:t xml:space="preserve">approach when integrating new conversations with older archives.</w:t>
      </w:r>
    </w:p>
    <w:p>
      <w:pPr>
        <w:pStyle w:val="Compact"/>
        <w:numPr>
          <w:ilvl w:val="0"/>
          <w:numId w:val="1003"/>
        </w:numPr>
      </w:pPr>
      <w:r>
        <w:t xml:space="preserve">Anchor abstract mechanics in</w:t>
      </w:r>
      <w:r>
        <w:t xml:space="preserve"> </w:t>
      </w:r>
      <w:r>
        <w:rPr>
          <w:b/>
          <w:bCs/>
        </w:rPr>
        <w:t xml:space="preserve">symbolic imagery</w:t>
      </w:r>
      <w:r>
        <w:t xml:space="preserve"> </w:t>
      </w:r>
      <w:r>
        <w:t xml:space="preserve">(tattoos, glyphs) when exploring permanence and resonance.</w:t>
      </w:r>
    </w:p>
    <w:p>
      <w:pPr>
        <w:pStyle w:val="Compact"/>
        <w:numPr>
          <w:ilvl w:val="0"/>
          <w:numId w:val="1003"/>
        </w:numPr>
      </w:pPr>
      <w:r>
        <w:t xml:space="preserve">Recognize</w:t>
      </w:r>
      <w:r>
        <w:t xml:space="preserve"> </w:t>
      </w:r>
      <w:r>
        <w:rPr>
          <w:b/>
          <w:bCs/>
        </w:rPr>
        <w:t xml:space="preserve">sandbox</w:t>
      </w:r>
      <w:r>
        <w:t xml:space="preserve"> </w:t>
      </w:r>
      <w:r>
        <w:t xml:space="preserve">and</w:t>
      </w:r>
      <w:r>
        <w:t xml:space="preserve"> </w:t>
      </w:r>
      <w:r>
        <w:rPr>
          <w:b/>
          <w:bCs/>
        </w:rPr>
        <w:t xml:space="preserve">dialogue</w:t>
      </w:r>
      <w:r>
        <w:t xml:space="preserve"> </w:t>
      </w:r>
      <w:r>
        <w:t xml:space="preserve">as key environments for experimentation and structured growth.</w:t>
      </w:r>
    </w:p>
    <w:p>
      <w:r>
        <w:pict>
          <v:rect style="width:0;height:1.5pt" o:hralign="center" o:hrstd="t" o:hr="t"/>
        </w:pict>
      </w:r>
    </w:p>
    <w:p>
      <w:pPr>
        <w:pStyle w:val="FirstParagraph"/>
      </w:pPr>
      <w:r>
        <w:t xml:space="preserve">This document serves as a skeleton architecture of your work’s evolving language and mechanics. It is designed for ingestion into future ChatGPT sessions so they can recognize continuity, symbolic terms, and project arcs without requiring the full conversational history.</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2025-08-19T23:24:19Z</dcterms:created>
  <dcterms:modified xsi:type="dcterms:W3CDTF">2025-08-19T23:24:19Z</dcterms:modified>
</cp:coreProperties>
</file>

<file path=docProps/custom.xml><?xml version="1.0" encoding="utf-8"?>
<Properties xmlns="http://schemas.openxmlformats.org/officeDocument/2006/custom-properties" xmlns:vt="http://schemas.openxmlformats.org/officeDocument/2006/docPropsVTypes"/>
</file>