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Revenue Model Assumptions</w:t>
      </w:r>
    </w:p>
    <w:p>
      <w:pPr>
        <w:pStyle w:val="Heading2"/>
      </w:pPr>
      <w:r>
        <w:t>Pricing Tiers</w:t>
      </w:r>
    </w:p>
    <w:p>
      <w:pPr>
        <w:pStyle w:val="ListBullet"/>
      </w:pPr>
      <w:r>
        <w:rPr>
          <w:sz w:val="24"/>
        </w:rPr>
        <w:t>Free: $0/month</w:t>
      </w:r>
    </w:p>
    <w:p>
      <w:pPr>
        <w:pStyle w:val="ListBullet"/>
      </w:pPr>
      <w:r>
        <w:rPr>
          <w:sz w:val="24"/>
        </w:rPr>
        <w:t>Starter: $29/month (10% off for annual prepay =&gt; $313/year)</w:t>
      </w:r>
    </w:p>
    <w:p>
      <w:pPr>
        <w:pStyle w:val="ListBullet"/>
      </w:pPr>
      <w:r>
        <w:rPr>
          <w:sz w:val="24"/>
        </w:rPr>
        <w:t>Growth: $99/month (15% off for annual prepay =&gt; $1,009/year)</w:t>
      </w:r>
    </w:p>
    <w:p>
      <w:pPr>
        <w:pStyle w:val="ListBullet"/>
      </w:pPr>
      <w:r>
        <w:rPr>
          <w:sz w:val="24"/>
        </w:rPr>
        <w:t>Enterprise: $499/month (custom negotiated)</w:t>
      </w:r>
    </w:p>
    <w:p>
      <w:pPr>
        <w:pStyle w:val="Heading2"/>
      </w:pPr>
      <w:r>
        <w:t>Customer Acquisition &amp; Churn</w:t>
      </w:r>
    </w:p>
    <w:p>
      <w:pPr>
        <w:pStyle w:val="ListBullet"/>
      </w:pPr>
      <w:r>
        <w:rPr>
          <w:sz w:val="24"/>
        </w:rPr>
        <w:t>Starting customers (Month 1): 10 (all on Starter)</w:t>
      </w:r>
    </w:p>
    <w:p>
      <w:pPr>
        <w:pStyle w:val="ListBullet"/>
      </w:pPr>
      <w:r>
        <w:rPr>
          <w:sz w:val="24"/>
        </w:rPr>
        <w:t>New sign-ups per month: ramping from 20 to 100 in Year 1, then 100/month in Year 2</w:t>
      </w:r>
    </w:p>
    <w:p>
      <w:pPr>
        <w:pStyle w:val="ListBullet"/>
      </w:pPr>
      <w:r>
        <w:rPr>
          <w:sz w:val="24"/>
        </w:rPr>
        <w:t>Plan: 70% Starter, 25% Growth, 5% Enterprise split of new sign-ups</w:t>
      </w:r>
    </w:p>
    <w:p>
      <w:pPr>
        <w:pStyle w:val="ListBullet"/>
      </w:pPr>
      <w:r>
        <w:rPr>
          <w:sz w:val="24"/>
        </w:rPr>
        <w:t>Upgrade rate: 10% of Starter upgrade to Growth after 3 months</w:t>
      </w:r>
    </w:p>
    <w:p>
      <w:pPr>
        <w:pStyle w:val="ListBullet"/>
      </w:pPr>
      <w:r>
        <w:rPr>
          <w:sz w:val="24"/>
        </w:rPr>
        <w:t>Churn rate: 5% monthly for Starter &amp; Growth; 2% monthly for Enterprise</w:t>
      </w:r>
    </w:p>
    <w:p>
      <w:pPr>
        <w:pStyle w:val="Heading2"/>
      </w:pPr>
      <w:r>
        <w:t>Time Horizon</w:t>
      </w:r>
    </w:p>
    <w:p>
      <w:pPr>
        <w:pStyle w:val="ListBullet"/>
      </w:pPr>
      <w:r>
        <w:rPr>
          <w:sz w:val="24"/>
        </w:rPr>
        <w:t>Projection duration: 24 months (May 2025 – April 2027)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