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Glyphframe Language Setting Matrix</w:t>
      </w:r>
    </w:p>
    <w:p>
      <w:pPr>
        <w:pStyle w:val="BodyText"/>
      </w:pPr>
      <w:r>
        <w:t xml:space="preserve">This table demonstrates common language setting defaults for each document section type. These values are meant as interpretive baselines and tuning guides, not fixed rules. You may adjust or override these scalars to create resonance with your intended loop, audience, or semantic terrain.</w:t>
      </w:r>
    </w:p>
    <w:p>
      <w:r>
        <w:pict>
          <v:rect style="width:0;height:1.5pt" o:hralign="center" o:hrstd="t" o:hr="t"/>
        </w:pict>
      </w:r>
    </w:p>
    <w:tbl>
      <w:tblPr>
        <w:tblStyle w:val="Table"/>
        <w:tblW w:type="pct" w:w="5000"/>
        <w:tblLayout w:type="fixed"/>
        <w:tblLook w:firstRow="1" w:lastRow="0" w:firstColumn="0" w:lastColumn="0" w:noHBand="0" w:noVBand="0" w:val="0020"/>
      </w:tblPr>
      <w:tblGrid>
        <w:gridCol w:w="726"/>
        <w:gridCol w:w="891"/>
        <w:gridCol w:w="1023"/>
        <w:gridCol w:w="1122"/>
        <w:gridCol w:w="1155"/>
        <w:gridCol w:w="1023"/>
        <w:gridCol w:w="957"/>
        <w:gridCol w:w="1023"/>
      </w:tblGrid>
      <w:tr>
        <w:trPr>
          <w:tblHeader w:val="on"/>
        </w:trPr>
        <w:tc>
          <w:tcPr/>
          <w:p>
            <w:pPr>
              <w:pStyle w:val="Compact"/>
            </w:pPr>
            <w:r>
              <w:t xml:space="preserve">Setting</w:t>
            </w:r>
          </w:p>
        </w:tc>
        <w:tc>
          <w:tcPr/>
          <w:p>
            <w:pPr>
              <w:pStyle w:val="Compact"/>
            </w:pPr>
            <w:r>
              <w:t xml:space="preserve">Scalar Range (1–5)</w:t>
            </w:r>
          </w:p>
        </w:tc>
        <w:tc>
          <w:tcPr/>
          <w:p>
            <w:pPr>
              <w:pStyle w:val="Compact"/>
            </w:pPr>
            <w:r>
              <w:t xml:space="preserve">;doczip.1 (Compression: 3-Line)</w:t>
            </w:r>
          </w:p>
        </w:tc>
        <w:tc>
          <w:tcPr/>
          <w:p>
            <w:pPr>
              <w:pStyle w:val="Compact"/>
            </w:pPr>
            <w:r>
              <w:t xml:space="preserve">;doczip.2 (Compression: General)</w:t>
            </w:r>
          </w:p>
        </w:tc>
        <w:tc>
          <w:tcPr/>
          <w:p>
            <w:pPr>
              <w:pStyle w:val="Compact"/>
            </w:pPr>
            <w:r>
              <w:t xml:space="preserve">;doczip.3 (Compression: Rhythmic)</w:t>
            </w:r>
          </w:p>
        </w:tc>
        <w:tc>
          <w:tcPr/>
          <w:p>
            <w:pPr>
              <w:pStyle w:val="Compact"/>
            </w:pPr>
            <w:r>
              <w:t xml:space="preserve">;doczip.4 (Compression: Systems)</w:t>
            </w:r>
          </w:p>
        </w:tc>
        <w:tc>
          <w:tcPr/>
          <w:p>
            <w:pPr>
              <w:pStyle w:val="Compact"/>
            </w:pPr>
            <w:r>
              <w:t xml:space="preserve">;docgen (Narrative Layer)</w:t>
            </w:r>
          </w:p>
        </w:tc>
        <w:tc>
          <w:tcPr/>
          <w:p>
            <w:pPr>
              <w:pStyle w:val="Compact"/>
            </w:pPr>
            <w:r>
              <w:t xml:space="preserve">;docloop (Technical Layer)</w:t>
            </w:r>
          </w:p>
        </w:tc>
      </w:tr>
      <w:tr>
        <w:tc>
          <w:tcPr/>
          <w:p>
            <w:pPr>
              <w:pStyle w:val="Compact"/>
            </w:pPr>
            <w:r>
              <w:rPr>
                <w:b/>
                <w:bCs/>
              </w:rPr>
              <w:t xml:space="preserve">Formality</w:t>
            </w:r>
          </w:p>
        </w:tc>
        <w:tc>
          <w:tcPr/>
          <w:p>
            <w:pPr>
              <w:pStyle w:val="Compact"/>
            </w:pPr>
            <w:r>
              <w:t xml:space="preserve">casual → formal</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5</w:t>
            </w:r>
          </w:p>
        </w:tc>
      </w:tr>
      <w:tr>
        <w:tc>
          <w:tcPr/>
          <w:p>
            <w:pPr>
              <w:pStyle w:val="Compact"/>
            </w:pPr>
            <w:r>
              <w:rPr>
                <w:b/>
                <w:bCs/>
              </w:rPr>
              <w:t xml:space="preserve">Complexity</w:t>
            </w:r>
          </w:p>
        </w:tc>
        <w:tc>
          <w:tcPr/>
          <w:p>
            <w:pPr>
              <w:pStyle w:val="Compact"/>
            </w:pPr>
            <w:r>
              <w:t xml:space="preserve">simple → dense</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2</w:t>
            </w:r>
          </w:p>
        </w:tc>
        <w:tc>
          <w:tcPr/>
          <w:p>
            <w:pPr>
              <w:pStyle w:val="Compact"/>
            </w:pPr>
            <w:r>
              <w:t xml:space="preserve">5</w:t>
            </w:r>
          </w:p>
        </w:tc>
      </w:tr>
      <w:tr>
        <w:tc>
          <w:tcPr/>
          <w:p>
            <w:pPr>
              <w:pStyle w:val="Compact"/>
            </w:pPr>
            <w:r>
              <w:rPr>
                <w:b/>
                <w:bCs/>
              </w:rPr>
              <w:t xml:space="preserve">Metaphor Use</w:t>
            </w:r>
          </w:p>
        </w:tc>
        <w:tc>
          <w:tcPr/>
          <w:p>
            <w:pPr>
              <w:pStyle w:val="Compact"/>
            </w:pPr>
            <w:r>
              <w:t xml:space="preserve">literal → symbolic</w:t>
            </w:r>
          </w:p>
        </w:tc>
        <w:tc>
          <w:tcPr/>
          <w:p>
            <w:pPr>
              <w:pStyle w:val="Compact"/>
            </w:pPr>
            <w:r>
              <w:t xml:space="preserve">3</w:t>
            </w:r>
          </w:p>
        </w:tc>
        <w:tc>
          <w:tcPr/>
          <w:p>
            <w:pPr>
              <w:pStyle w:val="Compact"/>
            </w:pPr>
            <w:r>
              <w:t xml:space="preserve">2</w:t>
            </w:r>
          </w:p>
        </w:tc>
        <w:tc>
          <w:tcPr/>
          <w:p>
            <w:pPr>
              <w:pStyle w:val="Compact"/>
            </w:pPr>
            <w:r>
              <w:t xml:space="preserve">5</w:t>
            </w:r>
          </w:p>
        </w:tc>
        <w:tc>
          <w:tcPr/>
          <w:p>
            <w:pPr>
              <w:pStyle w:val="Compact"/>
            </w:pPr>
            <w:r>
              <w:t xml:space="preserve">2</w:t>
            </w:r>
          </w:p>
        </w:tc>
        <w:tc>
          <w:tcPr/>
          <w:p>
            <w:pPr>
              <w:pStyle w:val="Compact"/>
            </w:pPr>
            <w:r>
              <w:t xml:space="preserve">5</w:t>
            </w:r>
          </w:p>
        </w:tc>
        <w:tc>
          <w:tcPr/>
          <w:p>
            <w:pPr>
              <w:pStyle w:val="Compact"/>
            </w:pPr>
            <w:r>
              <w:t xml:space="preserve">1</w:t>
            </w:r>
          </w:p>
        </w:tc>
      </w:tr>
      <w:tr>
        <w:tc>
          <w:tcPr/>
          <w:p>
            <w:pPr>
              <w:pStyle w:val="Compact"/>
            </w:pPr>
            <w:r>
              <w:rPr>
                <w:b/>
                <w:bCs/>
              </w:rPr>
              <w:t xml:space="preserve">Abstraction</w:t>
            </w:r>
          </w:p>
        </w:tc>
        <w:tc>
          <w:tcPr/>
          <w:p>
            <w:pPr>
              <w:pStyle w:val="Compact"/>
            </w:pPr>
            <w:r>
              <w:t xml:space="preserve">concrete → abstract</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3</w:t>
            </w:r>
          </w:p>
        </w:tc>
        <w:tc>
          <w:tcPr/>
          <w:p>
            <w:pPr>
              <w:pStyle w:val="Compact"/>
            </w:pPr>
            <w:r>
              <w:t xml:space="preserve">5</w:t>
            </w:r>
          </w:p>
        </w:tc>
      </w:tr>
      <w:tr>
        <w:tc>
          <w:tcPr/>
          <w:p>
            <w:pPr>
              <w:pStyle w:val="Compact"/>
            </w:pPr>
            <w:r>
              <w:rPr>
                <w:b/>
                <w:bCs/>
              </w:rPr>
              <w:t xml:space="preserve">Temporal Span</w:t>
            </w:r>
          </w:p>
        </w:tc>
        <w:tc>
          <w:tcPr/>
          <w:p>
            <w:pPr>
              <w:pStyle w:val="Compact"/>
            </w:pPr>
            <w:r>
              <w:t xml:space="preserve">present → cross-temporal</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5</w:t>
            </w:r>
          </w:p>
        </w:tc>
      </w:tr>
      <w:tr>
        <w:tc>
          <w:tcPr/>
          <w:p>
            <w:pPr>
              <w:pStyle w:val="Compact"/>
            </w:pPr>
            <w:r>
              <w:rPr>
                <w:b/>
                <w:bCs/>
              </w:rPr>
              <w:t xml:space="preserve">Emotional Tone</w:t>
            </w:r>
          </w:p>
        </w:tc>
        <w:tc>
          <w:tcPr/>
          <w:p>
            <w:pPr>
              <w:pStyle w:val="Compact"/>
            </w:pPr>
            <w:r>
              <w:t xml:space="preserve">dry → evocative</w:t>
            </w:r>
          </w:p>
        </w:tc>
        <w:tc>
          <w:tcPr/>
          <w:p>
            <w:pPr>
              <w:pStyle w:val="Compact"/>
            </w:pPr>
            <w:r>
              <w:t xml:space="preserve">1</w:t>
            </w:r>
          </w:p>
        </w:tc>
        <w:tc>
          <w:tcPr/>
          <w:p>
            <w:pPr>
              <w:pStyle w:val="Compact"/>
            </w:pPr>
            <w:r>
              <w:t xml:space="preserve">2</w:t>
            </w:r>
          </w:p>
        </w:tc>
        <w:tc>
          <w:tcPr/>
          <w:p>
            <w:pPr>
              <w:pStyle w:val="Compact"/>
            </w:pPr>
            <w:r>
              <w:t xml:space="preserve">5</w:t>
            </w:r>
          </w:p>
        </w:tc>
        <w:tc>
          <w:tcPr/>
          <w:p>
            <w:pPr>
              <w:pStyle w:val="Compact"/>
            </w:pPr>
            <w:r>
              <w:t xml:space="preserve">1</w:t>
            </w:r>
          </w:p>
        </w:tc>
        <w:tc>
          <w:tcPr/>
          <w:p>
            <w:pPr>
              <w:pStyle w:val="Compact"/>
            </w:pPr>
            <w:r>
              <w:t xml:space="preserve">5</w:t>
            </w:r>
          </w:p>
        </w:tc>
        <w:tc>
          <w:tcPr/>
          <w:p>
            <w:pPr>
              <w:pStyle w:val="Compact"/>
            </w:pPr>
            <w:r>
              <w:t xml:space="preserve">1</w:t>
            </w:r>
          </w:p>
        </w:tc>
      </w:tr>
      <w:tr>
        <w:tc>
          <w:tcPr/>
          <w:p>
            <w:pPr>
              <w:pStyle w:val="Compact"/>
            </w:pPr>
            <w:r>
              <w:rPr>
                <w:b/>
                <w:bCs/>
              </w:rPr>
              <w:t xml:space="preserve">Narrative Flow</w:t>
            </w:r>
          </w:p>
        </w:tc>
        <w:tc>
          <w:tcPr/>
          <w:p>
            <w:pPr>
              <w:pStyle w:val="Compact"/>
            </w:pPr>
            <w:r>
              <w:t xml:space="preserve">flat → arc-based</w:t>
            </w:r>
          </w:p>
        </w:tc>
        <w:tc>
          <w:tcPr/>
          <w:p>
            <w:pPr>
              <w:pStyle w:val="Compact"/>
            </w:pPr>
            <w:r>
              <w:t xml:space="preserve">1</w:t>
            </w:r>
          </w:p>
        </w:tc>
        <w:tc>
          <w:tcPr/>
          <w:p>
            <w:pPr>
              <w:pStyle w:val="Compact"/>
            </w:pPr>
            <w:r>
              <w:t xml:space="preserve">2</w:t>
            </w:r>
          </w:p>
        </w:tc>
        <w:tc>
          <w:tcPr/>
          <w:p>
            <w:pPr>
              <w:pStyle w:val="Compact"/>
            </w:pPr>
            <w:r>
              <w:t xml:space="preserve">5</w:t>
            </w:r>
          </w:p>
        </w:tc>
        <w:tc>
          <w:tcPr/>
          <w:p>
            <w:pPr>
              <w:pStyle w:val="Compact"/>
            </w:pPr>
            <w:r>
              <w:t xml:space="preserve">1</w:t>
            </w:r>
          </w:p>
        </w:tc>
        <w:tc>
          <w:tcPr/>
          <w:p>
            <w:pPr>
              <w:pStyle w:val="Compact"/>
            </w:pPr>
            <w:r>
              <w:t xml:space="preserve">5</w:t>
            </w:r>
          </w:p>
        </w:tc>
        <w:tc>
          <w:tcPr/>
          <w:p>
            <w:pPr>
              <w:pStyle w:val="Compact"/>
            </w:pPr>
            <w:r>
              <w:t xml:space="preserve">1</w:t>
            </w:r>
          </w:p>
        </w:tc>
      </w:tr>
      <w:tr>
        <w:tc>
          <w:tcPr/>
          <w:p>
            <w:pPr>
              <w:pStyle w:val="Compact"/>
            </w:pPr>
            <w:r>
              <w:rPr>
                <w:b/>
                <w:bCs/>
              </w:rPr>
              <w:t xml:space="preserve">Symbol Density</w:t>
            </w:r>
          </w:p>
        </w:tc>
        <w:tc>
          <w:tcPr/>
          <w:p>
            <w:pPr>
              <w:pStyle w:val="Compact"/>
            </w:pPr>
            <w:r>
              <w:t xml:space="preserve">none → frequent</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5</w:t>
            </w:r>
          </w:p>
        </w:tc>
      </w:tr>
      <w:tr>
        <w:tc>
          <w:tcPr/>
          <w:p>
            <w:pPr>
              <w:pStyle w:val="Compact"/>
            </w:pPr>
            <w:r>
              <w:rPr>
                <w:b/>
                <w:bCs/>
              </w:rPr>
              <w:t xml:space="preserve">Reader Assumptions</w:t>
            </w:r>
          </w:p>
        </w:tc>
        <w:tc>
          <w:tcPr/>
          <w:p>
            <w:pPr>
              <w:pStyle w:val="Compact"/>
            </w:pPr>
            <w:r>
              <w:t xml:space="preserve">general → specialized</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5</w:t>
            </w:r>
          </w:p>
        </w:tc>
        <w:tc>
          <w:tcPr/>
          <w:p>
            <w:pPr>
              <w:pStyle w:val="Compact"/>
            </w:pPr>
            <w:r>
              <w:t xml:space="preserve">3</w:t>
            </w:r>
          </w:p>
        </w:tc>
        <w:tc>
          <w:tcPr/>
          <w:p>
            <w:pPr>
              <w:pStyle w:val="Compact"/>
            </w:pPr>
            <w:r>
              <w:t xml:space="preserve">5</w:t>
            </w:r>
          </w:p>
        </w:tc>
      </w:tr>
      <w:tr>
        <w:tc>
          <w:tcPr/>
          <w:p>
            <w:pPr>
              <w:pStyle w:val="Compact"/>
            </w:pPr>
            <w:r>
              <w:rPr>
                <w:b/>
                <w:bCs/>
              </w:rPr>
              <w:t xml:space="preserve">Loop Awareness</w:t>
            </w:r>
          </w:p>
        </w:tc>
        <w:tc>
          <w:tcPr/>
          <w:p>
            <w:pPr>
              <w:pStyle w:val="Compact"/>
            </w:pPr>
            <w:r>
              <w:t xml:space="preserve">linear → recursive</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5</w:t>
            </w:r>
          </w:p>
        </w:tc>
      </w:tr>
    </w:tbl>
    <w:p>
      <w:r>
        <w:pict>
          <v:rect style="width:0;height:1.5pt" o:hralign="center" o:hrstd="t" o:hr="t"/>
        </w:pict>
      </w:r>
    </w:p>
    <w:p>
      <w:pPr>
        <w:pStyle w:val="FirstParagraph"/>
      </w:pPr>
      <w:r>
        <w:t xml:space="preserve">🝚 Notes:</w:t>
      </w:r>
      <w:r>
        <w:t xml:space="preserve"> </w:t>
      </w:r>
      <w:r>
        <w:t xml:space="preserve">-</w:t>
      </w:r>
      <w:r>
        <w:t xml:space="preserve"> </w:t>
      </w:r>
      <w:r>
        <w:rPr>
          <w:b/>
          <w:bCs/>
        </w:rPr>
        <w:t xml:space="preserve">Scalars are flexible and interpretable</w:t>
      </w:r>
      <w:r>
        <w:t xml:space="preserve">, not prescriptive.</w:t>
      </w:r>
      <w:r>
        <w:t xml:space="preserve"> </w:t>
      </w:r>
      <w:r>
        <w:t xml:space="preserve">- Adjustments may be made contextually or per glyph resonance.</w:t>
      </w:r>
      <w:r>
        <w:t xml:space="preserve"> </w:t>
      </w:r>
      <w:r>
        <w:t xml:space="preserve">- Future toolsets may enable dynamic remapping of these values per output instance.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2025-08-01T16:37:32Z</dcterms:created>
  <dcterms:modified xsi:type="dcterms:W3CDTF">2025-08-01T16:37:32Z</dcterms:modified>
</cp:coreProperties>
</file>

<file path=docProps/custom.xml><?xml version="1.0" encoding="utf-8"?>
<Properties xmlns="http://schemas.openxmlformats.org/officeDocument/2006/custom-properties" xmlns:vt="http://schemas.openxmlformats.org/officeDocument/2006/docPropsVTypes"/>
</file>