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lantern-essay-engine-dev-brief-v1"/>
    <w:p>
      <w:pPr>
        <w:pStyle w:val="Heading1"/>
      </w:pPr>
      <w:r>
        <w:t xml:space="preserve">Lantern Essay Engine — Dev Brief (v1)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/>
          <w:bCs/>
        </w:rPr>
        <w:t xml:space="preserve">single Next.js codebase</w:t>
      </w:r>
      <w:r>
        <w:t xml:space="preserve"> </w:t>
      </w:r>
      <w:r>
        <w:t xml:space="preserve">that can serve</w:t>
      </w:r>
      <w:r>
        <w:t xml:space="preserve"> </w:t>
      </w:r>
      <w:r>
        <w:rPr>
          <w:b/>
          <w:bCs/>
        </w:rPr>
        <w:t xml:space="preserve">multiple domains</w:t>
      </w:r>
      <w:r>
        <w:t xml:space="preserve"> </w:t>
      </w:r>
      <w:r>
        <w:t xml:space="preserve">(e.g. howtrustworks.com, howeverthingworks.com, polememelop.com), each hosting</w:t>
      </w:r>
      <w:r>
        <w:t xml:space="preserve"> </w:t>
      </w:r>
      <w:r>
        <w:rPr>
          <w:b/>
          <w:bCs/>
        </w:rPr>
        <w:t xml:space="preserve">single-page essays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dimension selector</w:t>
      </w:r>
      <w:r>
        <w:t xml:space="preserve"> </w:t>
      </w:r>
      <w:r>
        <w:t xml:space="preserve">that lets readers switch conceptual lenses on the same content.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static‑first essay engine</w:t>
      </w:r>
      <w:r>
        <w:t xml:space="preserve">.</w:t>
      </w:r>
      <w:r>
        <w:t xml:space="preserve"> </w:t>
      </w:r>
      <w:r>
        <w:t xml:space="preserve">- Git is the CMS.</w:t>
      </w:r>
      <w:r>
        <w:t xml:space="preserve"> </w:t>
      </w:r>
      <w:r>
        <w:t xml:space="preserve">- No admin UI in v1.</w:t>
      </w:r>
      <w:r>
        <w:t xml:space="preserve"> </w:t>
      </w:r>
      <w:r>
        <w:t xml:space="preserve">- Fast, legible, intentional pages.</w:t>
      </w:r>
    </w:p>
    <w:p>
      <w:pPr>
        <w:pStyle w:val="BodyText"/>
      </w:pPr>
      <w:r>
        <w:t xml:space="preserve">Conceptually:</w:t>
      </w:r>
      <w:r>
        <w:t xml:space="preserve"> </w:t>
      </w:r>
      <w:r>
        <w:rPr>
          <w:i/>
          <w:iCs/>
        </w:rPr>
        <w:t xml:space="preserve">How one thing works is how everything works.</w:t>
      </w:r>
      <w:r>
        <w:br/>
      </w:r>
      <w:r>
        <w:t xml:space="preserve">Structurally:</w:t>
      </w:r>
      <w:r>
        <w:t xml:space="preserve"> </w:t>
      </w:r>
      <w:r>
        <w:rPr>
          <w:i/>
          <w:iCs/>
        </w:rPr>
        <w:t xml:space="preserve">All branches lead to the root.</w:t>
      </w:r>
    </w:p>
    <w:p>
      <w:r>
        <w:pict>
          <v:rect style="width:0;height:1.5pt" o:hralign="center" o:hrstd="t" o:hr="t"/>
        </w:pict>
      </w:r>
    </w:p>
    <w:bookmarkEnd w:id="20"/>
    <w:bookmarkStart w:id="21" w:name="core-requirements-nonnegotiable"/>
    <w:p>
      <w:pPr>
        <w:pStyle w:val="Heading2"/>
      </w:pPr>
      <w:r>
        <w:t xml:space="preserve">Core Requirements (Non‑Negotiable)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Multi‑domain support from one repo</w:t>
      </w:r>
      <w:r>
        <w:br/>
      </w:r>
      <w:r>
        <w:t xml:space="preserve">One codebase must serve multiple domains, with per‑domain configuration.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Essays are single pages</w:t>
      </w:r>
      <w:r>
        <w:br/>
      </w:r>
      <w:r>
        <w:t xml:space="preserve">Each essay renders as one page (no pagination), with a clean reading experience.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Dimension selector</w:t>
      </w:r>
      <w:r>
        <w:br/>
      </w:r>
      <w:r>
        <w:t xml:space="preserve">Essays can be viewed through multiple conceptual</w:t>
      </w:r>
      <w:r>
        <w:t xml:space="preserve"> </w:t>
      </w:r>
      <w:r>
        <w:t xml:space="preserve">“dimensions”</w:t>
      </w:r>
      <w:r>
        <w:t xml:space="preserve"> </w:t>
      </w:r>
      <w:r>
        <w:t xml:space="preserve">(lenses), switchable at runtime without page reload.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Invariant references</w:t>
      </w:r>
      <w:r>
        <w:br/>
      </w:r>
      <w:r>
        <w:t xml:space="preserve">Essays can reference canonical</w:t>
      </w:r>
      <w:r>
        <w:t xml:space="preserve"> </w:t>
      </w:r>
      <w:r>
        <w:t xml:space="preserve">“invariants”</w:t>
      </w:r>
      <w:r>
        <w:t xml:space="preserve"> </w:t>
      </w:r>
      <w:r>
        <w:t xml:space="preserve">fetched from quantuminvariants.com (JSON‑fed, programmatic).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Root‑trail footer</w:t>
      </w:r>
      <w:r>
        <w:br/>
      </w:r>
      <w:r>
        <w:t xml:space="preserve">Every page must render a footer that points inward toward a defined root (ultimately polememelop.com). This should be hard to accidentally break.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Static‑first, versioned by Git</w:t>
      </w:r>
      <w:r>
        <w:br/>
      </w:r>
      <w:r>
        <w:t xml:space="preserve">Content lives in the repo. Publishing == merge.</w:t>
      </w:r>
    </w:p>
    <w:p>
      <w:r>
        <w:pict>
          <v:rect style="width:0;height:1.5pt" o:hralign="center" o:hrstd="t" o:hr="t"/>
        </w:pict>
      </w:r>
    </w:p>
    <w:bookmarkEnd w:id="21"/>
    <w:bookmarkStart w:id="22" w:name="recommended-stack-flexible"/>
    <w:p>
      <w:pPr>
        <w:pStyle w:val="Heading2"/>
      </w:pPr>
      <w:r>
        <w:t xml:space="preserve">Recommended Stack (Flexible)</w:t>
      </w:r>
    </w:p>
    <w:p>
      <w:pPr>
        <w:pStyle w:val="FirstParagraph"/>
      </w:pPr>
      <w:r>
        <w:t xml:space="preserve">Defaults (can be adjusted if there’s a strong reason):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Next.js (App Router)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TypeScript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MDX</w:t>
      </w:r>
      <w:r>
        <w:t xml:space="preserve"> </w:t>
      </w:r>
      <w:r>
        <w:t xml:space="preserve">for content</w:t>
      </w:r>
    </w:p>
    <w:p>
      <w:pPr>
        <w:pStyle w:val="Compact"/>
        <w:numPr>
          <w:ilvl w:val="0"/>
          <w:numId w:val="1002"/>
        </w:numPr>
      </w:pPr>
      <w:r>
        <w:t xml:space="preserve">Static generation preferred where possible</w:t>
      </w:r>
    </w:p>
    <w:p>
      <w:pPr>
        <w:pStyle w:val="FirstParagraph"/>
      </w:pPr>
      <w:r>
        <w:t xml:space="preserve">You are free to choose:</w:t>
      </w:r>
      <w:r>
        <w:t xml:space="preserve"> </w:t>
      </w:r>
      <w:r>
        <w:t xml:space="preserve">- MDX tooling (next-mdx-remote,</w:t>
      </w:r>
      <w:r>
        <w:t xml:space="preserve"> </w:t>
      </w:r>
      <w:r>
        <w:t xml:space="preserve">@next/mdx</w:t>
      </w:r>
      <w:r>
        <w:t xml:space="preserve">, Contentlayer, etc.)</w:t>
      </w:r>
      <w:r>
        <w:t xml:space="preserve"> </w:t>
      </w:r>
      <w:r>
        <w:t xml:space="preserve">- Styling system (Tailwind, CSS modules, etc.)</w:t>
      </w:r>
      <w:r>
        <w:t xml:space="preserve"> </w:t>
      </w:r>
      <w:r>
        <w:t xml:space="preserve">- Data caching strategy</w:t>
      </w:r>
    </w:p>
    <w:p>
      <w:pPr>
        <w:pStyle w:val="BodyText"/>
      </w:pPr>
      <w:r>
        <w:t xml:space="preserve">As long as the</w:t>
      </w:r>
      <w:r>
        <w:t xml:space="preserve"> </w:t>
      </w:r>
      <w:r>
        <w:rPr>
          <w:b/>
          <w:bCs/>
        </w:rPr>
        <w:t xml:space="preserve">content contracts</w:t>
      </w:r>
      <w:r>
        <w:t xml:space="preserve"> </w:t>
      </w:r>
      <w:r>
        <w:t xml:space="preserve">below are honored.</w:t>
      </w:r>
    </w:p>
    <w:p>
      <w:r>
        <w:pict>
          <v:rect style="width:0;height:1.5pt" o:hralign="center" o:hrstd="t" o:hr="t"/>
        </w:pict>
      </w:r>
    </w:p>
    <w:bookmarkEnd w:id="22"/>
    <w:bookmarkStart w:id="25" w:name="multidomain-architecture"/>
    <w:p>
      <w:pPr>
        <w:pStyle w:val="Heading2"/>
      </w:pPr>
      <w:r>
        <w:t xml:space="preserve">Multi‑Domain Architecture</w:t>
      </w:r>
    </w:p>
    <w:bookmarkStart w:id="23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One repo → many domains.</w:t>
      </w:r>
    </w:p>
    <w:p>
      <w:pPr>
        <w:pStyle w:val="BodyText"/>
      </w:pPr>
      <w:r>
        <w:t xml:space="preserve">Each request resolves to a</w:t>
      </w:r>
      <w:r>
        <w:t xml:space="preserve"> </w:t>
      </w:r>
      <w:r>
        <w:rPr>
          <w:rStyle w:val="VerbatimChar"/>
        </w:rPr>
        <w:t xml:space="preserve">siteId</w:t>
      </w:r>
      <w:r>
        <w:t xml:space="preserve">, which controls:</w:t>
      </w:r>
      <w:r>
        <w:t xml:space="preserve"> </w:t>
      </w:r>
      <w:r>
        <w:t xml:space="preserve">- Which essays are available</w:t>
      </w:r>
      <w:r>
        <w:t xml:space="preserve"> </w:t>
      </w:r>
      <w:r>
        <w:t xml:space="preserve">- Footer root‑trail</w:t>
      </w:r>
      <w:r>
        <w:t xml:space="preserve"> </w:t>
      </w:r>
      <w:r>
        <w:t xml:space="preserve">- Theming / tone (later)</w:t>
      </w:r>
    </w:p>
    <w:bookmarkEnd w:id="23"/>
    <w:bookmarkStart w:id="24" w:name="acceptable-approaches"/>
    <w:p>
      <w:pPr>
        <w:pStyle w:val="Heading3"/>
      </w:pPr>
      <w:r>
        <w:t xml:space="preserve">Acceptable Approaches</w:t>
      </w:r>
    </w:p>
    <w:p>
      <w:pPr>
        <w:pStyle w:val="FirstParagraph"/>
      </w:pPr>
      <w:r>
        <w:rPr>
          <w:b/>
          <w:bCs/>
        </w:rPr>
        <w:t xml:space="preserve">Option A — Middleware host routing (preferred)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inspects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header</w:t>
      </w:r>
      <w:r>
        <w:t xml:space="preserve"> </w:t>
      </w:r>
      <w:r>
        <w:t xml:space="preserve">- Maps domain →</w:t>
      </w:r>
      <w:r>
        <w:t xml:space="preserve"> </w:t>
      </w:r>
      <w:r>
        <w:rPr>
          <w:rStyle w:val="VerbatimChar"/>
        </w:rPr>
        <w:t xml:space="preserve">siteId</w:t>
      </w:r>
      <w:r>
        <w:t xml:space="preserve"> </w:t>
      </w:r>
      <w:r>
        <w:t xml:space="preserve">- Rewrites internally (e.g. </w:t>
      </w:r>
      <w:r>
        <w:rPr>
          <w:rStyle w:val="VerbatimChar"/>
        </w:rPr>
        <w:t xml:space="preserve">/_sites/howtrustworks/...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Option B — Multiple deploys from one repo</w:t>
      </w:r>
      <w:r>
        <w:t xml:space="preserve"> </w:t>
      </w:r>
      <w:r>
        <w:t xml:space="preserve">- Each deploy sets</w:t>
      </w:r>
      <w:r>
        <w:t xml:space="preserve"> </w:t>
      </w:r>
      <w:r>
        <w:rPr>
          <w:rStyle w:val="VerbatimChar"/>
        </w:rPr>
        <w:t xml:space="preserve">SITE_ID</w:t>
      </w:r>
      <w:r>
        <w:t xml:space="preserve"> </w:t>
      </w:r>
      <w:r>
        <w:t xml:space="preserve">env var</w:t>
      </w:r>
      <w:r>
        <w:t xml:space="preserve"> </w:t>
      </w:r>
      <w:r>
        <w:t xml:space="preserve">- Simpler runtime, more deploy config</w:t>
      </w:r>
    </w:p>
    <w:p>
      <w:pPr>
        <w:pStyle w:val="BodyText"/>
      </w:pPr>
      <w:r>
        <w:t xml:space="preserve">Either approach is fine.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ntent-structure"/>
    <w:p>
      <w:pPr>
        <w:pStyle w:val="Heading2"/>
      </w:pPr>
      <w:r>
        <w:t xml:space="preserve">Content Structure</w:t>
      </w:r>
    </w:p>
    <w:bookmarkStart w:id="26" w:name="folder-layout-illustrative"/>
    <w:p>
      <w:pPr>
        <w:pStyle w:val="Heading3"/>
      </w:pPr>
      <w:r>
        <w:t xml:space="preserve">Folder Layout (illustrative)</w:t>
      </w:r>
    </w:p>
    <w:p>
      <w:pPr>
        <w:pStyle w:val="SourceCode"/>
      </w:pPr>
      <w:r>
        <w:rPr>
          <w:rStyle w:val="VerbatimChar"/>
        </w:rPr>
        <w:t xml:space="preserve">/content</w:t>
      </w:r>
      <w:r>
        <w:br/>
      </w:r>
      <w:r>
        <w:rPr>
          <w:rStyle w:val="VerbatimChar"/>
        </w:rPr>
        <w:t xml:space="preserve">  /howtrustworks</w:t>
      </w:r>
      <w:r>
        <w:br/>
      </w:r>
      <w:r>
        <w:rPr>
          <w:rStyle w:val="VerbatimChar"/>
        </w:rPr>
        <w:t xml:space="preserve">    /essays</w:t>
      </w:r>
      <w:r>
        <w:br/>
      </w:r>
      <w:r>
        <w:rPr>
          <w:rStyle w:val="VerbatimChar"/>
        </w:rPr>
        <w:t xml:space="preserve">      /trust-is-a-loop</w:t>
      </w:r>
      <w:r>
        <w:br/>
      </w:r>
      <w:r>
        <w:rPr>
          <w:rStyle w:val="VerbatimChar"/>
        </w:rPr>
        <w:t xml:space="preserve">        index.mdx</w:t>
      </w:r>
      <w:r>
        <w:br/>
      </w:r>
      <w:r>
        <w:rPr>
          <w:rStyle w:val="VerbatimChar"/>
        </w:rPr>
        <w:t xml:space="preserve">        /dimensions</w:t>
      </w:r>
      <w:r>
        <w:br/>
      </w:r>
      <w:r>
        <w:rPr>
          <w:rStyle w:val="VerbatimChar"/>
        </w:rPr>
        <w:t xml:space="preserve">          simple.mdx</w:t>
      </w:r>
      <w:r>
        <w:br/>
      </w:r>
      <w:r>
        <w:rPr>
          <w:rStyle w:val="VerbatimChar"/>
        </w:rPr>
        <w:t xml:space="preserve">          formal.mdx</w:t>
      </w:r>
      <w:r>
        <w:br/>
      </w:r>
      <w:r>
        <w:rPr>
          <w:rStyle w:val="VerbatimChar"/>
        </w:rPr>
        <w:t xml:space="preserve">  /howeverthingworks</w:t>
      </w:r>
      <w:r>
        <w:br/>
      </w:r>
      <w:r>
        <w:rPr>
          <w:rStyle w:val="VerbatimChar"/>
        </w:rPr>
        <w:t xml:space="preserve">    /essays</w:t>
      </w:r>
      <w:r>
        <w:br/>
      </w:r>
      <w:r>
        <w:rPr>
          <w:rStyle w:val="VerbatimChar"/>
        </w:rPr>
        <w:t xml:space="preserve">      /how-one-thing-works</w:t>
      </w:r>
      <w:r>
        <w:br/>
      </w:r>
      <w:r>
        <w:rPr>
          <w:rStyle w:val="VerbatimChar"/>
        </w:rPr>
        <w:t xml:space="preserve">        index.mdx</w:t>
      </w:r>
    </w:p>
    <w:bookmarkEnd w:id="26"/>
    <w:bookmarkStart w:id="27" w:name="essay-directory"/>
    <w:p>
      <w:pPr>
        <w:pStyle w:val="Heading3"/>
      </w:pPr>
      <w:r>
        <w:t xml:space="preserve">Essay = Directory</w:t>
      </w:r>
    </w:p>
    <w:p>
      <w:pPr>
        <w:pStyle w:val="FirstParagraph"/>
      </w:pPr>
      <w:r>
        <w:t xml:space="preserve">Each essay lives in its own folder and is addressable by slug.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dx-frontmatter-contract"/>
    <w:p>
      <w:pPr>
        <w:pStyle w:val="Heading2"/>
      </w:pPr>
      <w:r>
        <w:t xml:space="preserve">MDX Frontmatter Contract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index.mdx</w:t>
      </w:r>
      <w:r>
        <w:t xml:space="preserve"> </w:t>
      </w:r>
      <w:r>
        <w:t xml:space="preserve">must support the following frontmatter fields: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— string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— string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slug</w:t>
      </w:r>
      <w:r>
        <w:t xml:space="preserve"> </w:t>
      </w:r>
      <w:r>
        <w:t xml:space="preserve">— string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defaultDimension</w:t>
      </w:r>
      <w:r>
        <w:t xml:space="preserve"> </w:t>
      </w:r>
      <w:r>
        <w:t xml:space="preserve">— string key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dimensions</w:t>
      </w:r>
      <w:r>
        <w:t xml:space="preserve"> </w:t>
      </w:r>
      <w:r>
        <w:t xml:space="preserve">— array of</w:t>
      </w:r>
      <w:r>
        <w:t xml:space="preserve"> </w:t>
      </w:r>
      <w:r>
        <w:rPr>
          <w:rStyle w:val="VerbatimChar"/>
        </w:rPr>
        <w:t xml:space="preserve">{ key, label 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tags</w:t>
      </w:r>
      <w:r>
        <w:t xml:space="preserve"> </w:t>
      </w:r>
      <w:r>
        <w:t xml:space="preserve">— string[] (lightweight metadata)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rootTrail</w:t>
      </w:r>
      <w:r>
        <w:t xml:space="preserve"> </w:t>
      </w:r>
      <w:r>
        <w:t xml:space="preserve">— array of</w:t>
      </w:r>
      <w:r>
        <w:t xml:space="preserve"> </w:t>
      </w:r>
      <w:r>
        <w:rPr>
          <w:rStyle w:val="VerbatimChar"/>
        </w:rPr>
        <w:t xml:space="preserve">{ label, url 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draft</w:t>
      </w:r>
      <w:r>
        <w:t xml:space="preserve"> </w:t>
      </w:r>
      <w:r>
        <w:t xml:space="preserve">— optional boolean</w:t>
      </w:r>
    </w:p>
    <w:p>
      <w:pPr>
        <w:pStyle w:val="FirstParagraph"/>
      </w:pPr>
      <w:r>
        <w:t xml:space="preserve">Example (conceptual):</w:t>
      </w:r>
    </w:p>
    <w:p>
      <w:pPr>
        <w:pStyle w:val="Compact"/>
        <w:numPr>
          <w:ilvl w:val="0"/>
          <w:numId w:val="1004"/>
        </w:numPr>
      </w:pPr>
      <w:r>
        <w:t xml:space="preserve">dimensions: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{ key: "simple", label: "ALIF" }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{ key: "formal", label: "Formal" }</w:t>
      </w:r>
    </w:p>
    <w:p>
      <w:pPr>
        <w:pStyle w:val="Compact"/>
        <w:numPr>
          <w:ilvl w:val="0"/>
          <w:numId w:val="1004"/>
        </w:numPr>
      </w:pPr>
      <w:r>
        <w:t xml:space="preserve">defaultDimension:</w:t>
      </w:r>
      <w:r>
        <w:t xml:space="preserve"> </w:t>
      </w:r>
      <w:r>
        <w:rPr>
          <w:rStyle w:val="VerbatimChar"/>
        </w:rPr>
        <w:t xml:space="preserve">"simple"</w:t>
      </w:r>
    </w:p>
    <w:p>
      <w:r>
        <w:pict>
          <v:rect style="width:0;height:1.5pt" o:hralign="center" o:hrstd="t" o:hr="t"/>
        </w:pict>
      </w:r>
    </w:p>
    <w:bookmarkEnd w:id="29"/>
    <w:bookmarkStart w:id="33" w:name="dimension-system-v1"/>
    <w:p>
      <w:pPr>
        <w:pStyle w:val="Heading2"/>
      </w:pPr>
      <w:r>
        <w:t xml:space="preserve">Dimension System (v1)</w:t>
      </w:r>
    </w:p>
    <w:bookmarkStart w:id="30" w:name="what-a-dimension-is"/>
    <w:p>
      <w:pPr>
        <w:pStyle w:val="Heading3"/>
      </w:pPr>
      <w:r>
        <w:t xml:space="preserve">What a Dimension Is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is a conceptual lens on the same essay:</w:t>
      </w:r>
      <w:r>
        <w:t xml:space="preserve"> </w:t>
      </w:r>
      <w:r>
        <w:t xml:space="preserve">- different wording</w:t>
      </w:r>
      <w:r>
        <w:t xml:space="preserve"> </w:t>
      </w:r>
      <w:r>
        <w:t xml:space="preserve">- different emphasis</w:t>
      </w:r>
      <w:r>
        <w:t xml:space="preserve"> </w:t>
      </w:r>
      <w:r>
        <w:t xml:space="preserve">- possibly different invariant references</w:t>
      </w:r>
    </w:p>
    <w:bookmarkEnd w:id="30"/>
    <w:bookmarkStart w:id="31" w:name="required-behavior"/>
    <w:p>
      <w:pPr>
        <w:pStyle w:val="Heading3"/>
      </w:pPr>
      <w:r>
        <w:t xml:space="preserve">Required Behavior</w:t>
      </w:r>
    </w:p>
    <w:p>
      <w:pPr>
        <w:pStyle w:val="Compact"/>
        <w:numPr>
          <w:ilvl w:val="0"/>
          <w:numId w:val="1006"/>
        </w:numPr>
      </w:pPr>
      <w:r>
        <w:t xml:space="preserve">Reader can switch dimensions at runtime</w:t>
      </w:r>
    </w:p>
    <w:p>
      <w:pPr>
        <w:pStyle w:val="Compact"/>
        <w:numPr>
          <w:ilvl w:val="0"/>
          <w:numId w:val="1006"/>
        </w:numPr>
      </w:pPr>
      <w:r>
        <w:t xml:space="preserve">No full page reload</w:t>
      </w:r>
    </w:p>
    <w:p>
      <w:pPr>
        <w:pStyle w:val="Compact"/>
        <w:numPr>
          <w:ilvl w:val="0"/>
          <w:numId w:val="1006"/>
        </w:numPr>
      </w:pPr>
      <w:r>
        <w:t xml:space="preserve">UI can be tabs or segmented control (slider optional later)</w:t>
      </w:r>
    </w:p>
    <w:p>
      <w:pPr>
        <w:pStyle w:val="Compact"/>
        <w:numPr>
          <w:ilvl w:val="0"/>
          <w:numId w:val="1006"/>
        </w:numPr>
      </w:pPr>
      <w:r>
        <w:t xml:space="preserve">Optional URL sync (</w:t>
      </w:r>
      <w:r>
        <w:rPr>
          <w:rStyle w:val="VerbatimChar"/>
        </w:rPr>
        <w:t xml:space="preserve">?d=formal</w:t>
      </w:r>
      <w:r>
        <w:t xml:space="preserve">) is a nice‑to‑have</w:t>
      </w:r>
    </w:p>
    <w:bookmarkEnd w:id="31"/>
    <w:bookmarkStart w:id="32" w:name="acceptable-implementations"/>
    <w:p>
      <w:pPr>
        <w:pStyle w:val="Heading3"/>
      </w:pPr>
      <w:r>
        <w:t xml:space="preserve">Acceptable Implementations</w:t>
      </w:r>
    </w:p>
    <w:p>
      <w:pPr>
        <w:pStyle w:val="FirstParagraph"/>
      </w:pPr>
      <w:r>
        <w:rPr>
          <w:b/>
          <w:bCs/>
        </w:rPr>
        <w:t xml:space="preserve">Approach A — Separate MDX per dimension (recommended)</w:t>
      </w:r>
      <w:r>
        <w:t xml:space="preserve"> </w:t>
      </w:r>
      <w:r>
        <w:t xml:space="preserve">- Each dimension has its own MDX partial</w:t>
      </w:r>
      <w:r>
        <w:t xml:space="preserve"> </w:t>
      </w:r>
      <w:r>
        <w:t xml:space="preserve">- Selector swaps which partial renders</w:t>
      </w:r>
    </w:p>
    <w:p>
      <w:pPr>
        <w:pStyle w:val="BodyText"/>
      </w:pPr>
      <w:r>
        <w:rPr>
          <w:b/>
          <w:bCs/>
        </w:rPr>
        <w:t xml:space="preserve">Approach B — Conditional sections inside one MDX</w:t>
      </w:r>
      <w:r>
        <w:t xml:space="preserve"> </w:t>
      </w:r>
      <w:r>
        <w:t xml:space="preserve">- Custom</w:t>
      </w:r>
      <w:r>
        <w:t xml:space="preserve"> </w:t>
      </w:r>
      <w:r>
        <w:rPr>
          <w:rStyle w:val="VerbatimChar"/>
        </w:rPr>
        <w:t xml:space="preserve">&lt;Dimension&gt;</w:t>
      </w:r>
      <w:r>
        <w:t xml:space="preserve"> </w:t>
      </w:r>
      <w:r>
        <w:t xml:space="preserve">component controls visibility</w:t>
      </w:r>
    </w:p>
    <w:p>
      <w:pPr>
        <w:pStyle w:val="BodyText"/>
      </w:pPr>
      <w:r>
        <w:t xml:space="preserve">Keep it simple in v1.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nvariants-integration"/>
    <w:p>
      <w:pPr>
        <w:pStyle w:val="Heading2"/>
      </w:pPr>
      <w:r>
        <w:t xml:space="preserve">Invariants Integration</w:t>
      </w:r>
    </w:p>
    <w:p>
      <w:pPr>
        <w:pStyle w:val="FirstParagraph"/>
      </w:pPr>
      <w:r>
        <w:t xml:space="preserve">Provide a small component API usable inside MDX: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&lt;Invariant id="sovereignty" /&gt;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&lt;InvariantCard id="consent-loop" /&gt;</w:t>
      </w:r>
    </w:p>
    <w:p>
      <w:pPr>
        <w:pStyle w:val="FirstParagraph"/>
      </w:pPr>
      <w:r>
        <w:t xml:space="preserve">Implementation details:</w:t>
      </w:r>
      <w:r>
        <w:t xml:space="preserve"> </w:t>
      </w:r>
      <w:r>
        <w:t xml:space="preserve">- Fetch invariant definitions from quantuminvariants.com (JSON endpoint)</w:t>
      </w:r>
      <w:r>
        <w:t xml:space="preserve"> </w:t>
      </w:r>
      <w:r>
        <w:t xml:space="preserve">- Cache appropriately (build‑time or runtime cache)</w:t>
      </w:r>
      <w:r>
        <w:t xml:space="preserve"> </w:t>
      </w:r>
      <w:r>
        <w:t xml:space="preserve">- Render readable inline or card UI</w:t>
      </w:r>
    </w:p>
    <w:p>
      <w:pPr>
        <w:pStyle w:val="BodyText"/>
      </w:pPr>
      <w:r>
        <w:t xml:space="preserve">Fancy UX is not required in v1; clarity is.</w:t>
      </w:r>
    </w:p>
    <w:p>
      <w:r>
        <w:pict>
          <v:rect style="width:0;height:1.5pt" o:hralign="center" o:hrstd="t" o:hr="t"/>
        </w:pict>
      </w:r>
    </w:p>
    <w:bookmarkEnd w:id="34"/>
    <w:bookmarkStart w:id="37" w:name="footer-all-branches-lead-to-the-root"/>
    <w:p>
      <w:pPr>
        <w:pStyle w:val="Heading2"/>
      </w:pPr>
      <w:r>
        <w:t xml:space="preserve">Footer:</w:t>
      </w:r>
      <w:r>
        <w:t xml:space="preserve"> </w:t>
      </w:r>
      <w:r>
        <w:t xml:space="preserve">“All Branches Lead to the Root”</w:t>
      </w:r>
    </w:p>
    <w:p>
      <w:pPr>
        <w:pStyle w:val="FirstParagraph"/>
      </w:pPr>
      <w:r>
        <w:t xml:space="preserve">Every page must render a</w:t>
      </w:r>
      <w:r>
        <w:t xml:space="preserve"> </w:t>
      </w:r>
      <w:r>
        <w:rPr>
          <w:b/>
          <w:bCs/>
        </w:rPr>
        <w:t xml:space="preserve">root‑trail footer</w:t>
      </w:r>
      <w:r>
        <w:t xml:space="preserve">.</w:t>
      </w:r>
    </w:p>
    <w:bookmarkStart w:id="35" w:name="roottrail"/>
    <w:p>
      <w:pPr>
        <w:pStyle w:val="Heading3"/>
      </w:pPr>
      <w:r>
        <w:t xml:space="preserve">Root‑Trail</w:t>
      </w:r>
    </w:p>
    <w:p>
      <w:pPr>
        <w:pStyle w:val="FirstParagraph"/>
      </w:pPr>
      <w:r>
        <w:t xml:space="preserve">An ordered list of links pointing inward, e.g.:</w:t>
      </w:r>
    </w:p>
    <w:p>
      <w:pPr>
        <w:pStyle w:val="Compact"/>
        <w:numPr>
          <w:ilvl w:val="0"/>
          <w:numId w:val="1008"/>
        </w:numPr>
      </w:pPr>
      <w:r>
        <w:t xml:space="preserve">How Everything Works → howeverthingworks.com</w:t>
      </w:r>
    </w:p>
    <w:p>
      <w:pPr>
        <w:pStyle w:val="Compact"/>
        <w:numPr>
          <w:ilvl w:val="0"/>
          <w:numId w:val="1008"/>
        </w:numPr>
      </w:pPr>
      <w:r>
        <w:t xml:space="preserve">POLEMEMELOP → polememelop.com</w:t>
      </w:r>
    </w:p>
    <w:bookmarkEnd w:id="35"/>
    <w:bookmarkStart w:id="36" w:name="enforcement"/>
    <w:p>
      <w:pPr>
        <w:pStyle w:val="Heading3"/>
      </w:pPr>
      <w:r>
        <w:t xml:space="preserve">Enforcement</w:t>
      </w:r>
    </w:p>
    <w:p>
      <w:pPr>
        <w:pStyle w:val="Compact"/>
        <w:numPr>
          <w:ilvl w:val="0"/>
          <w:numId w:val="1009"/>
        </w:numPr>
      </w:pPr>
      <w:r>
        <w:t xml:space="preserve">Root‑trail should come from a</w:t>
      </w:r>
      <w:r>
        <w:t xml:space="preserve"> </w:t>
      </w:r>
      <w:r>
        <w:rPr>
          <w:b/>
          <w:bCs/>
        </w:rPr>
        <w:t xml:space="preserve">central site config</w:t>
      </w:r>
    </w:p>
    <w:p>
      <w:pPr>
        <w:pStyle w:val="Compact"/>
        <w:numPr>
          <w:ilvl w:val="0"/>
          <w:numId w:val="1009"/>
        </w:numPr>
      </w:pPr>
      <w:r>
        <w:t xml:space="preserve">Essays may override only if explicitly needed</w:t>
      </w:r>
    </w:p>
    <w:p>
      <w:pPr>
        <w:pStyle w:val="Compact"/>
        <w:numPr>
          <w:ilvl w:val="0"/>
          <w:numId w:val="1009"/>
        </w:numPr>
      </w:pPr>
      <w:r>
        <w:t xml:space="preserve">Default behavior must always include the inward path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342604349913952be9066f4d8aee55d10de2c91"/>
    <w:p>
      <w:pPr>
        <w:pStyle w:val="Heading2"/>
      </w:pPr>
      <w:r>
        <w:t xml:space="preserve">Tags &amp; Dependencies (Intentionally Light in v1)</w:t>
      </w:r>
    </w:p>
    <w:p>
      <w:pPr>
        <w:pStyle w:val="FirstParagraph"/>
      </w:pPr>
      <w:r>
        <w:t xml:space="preserve">We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building a dependency graph yet.</w:t>
      </w:r>
    </w:p>
    <w:p>
      <w:pPr>
        <w:pStyle w:val="BodyText"/>
      </w:pPr>
      <w:r>
        <w:t xml:space="preserve">For now: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tags: string[]</w:t>
      </w:r>
      <w:r>
        <w:t xml:space="preserve"> </w:t>
      </w:r>
      <w:r>
        <w:t xml:space="preserve">exist as metadata</w:t>
      </w:r>
      <w:r>
        <w:t xml:space="preserve"> </w:t>
      </w:r>
      <w:r>
        <w:t xml:space="preserve">- Optional future hook: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dependencyTags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dependencyPaths</w:t>
      </w:r>
      <w:r>
        <w:t xml:space="preserve"> </w:t>
      </w:r>
      <w:r>
        <w:t xml:space="preserve">(unused in v1)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dimension selector</w:t>
      </w:r>
      <w:r>
        <w:t xml:space="preserve"> </w:t>
      </w:r>
      <w:r>
        <w:t xml:space="preserve">is the proto‑mechanism for multiple paths. Don’t overbuild.</w:t>
      </w:r>
    </w:p>
    <w:p>
      <w:r>
        <w:pict>
          <v:rect style="width:0;height:1.5pt" o:hralign="center" o:hrstd="t" o:hr="t"/>
        </w:pict>
      </w:r>
    </w:p>
    <w:bookmarkEnd w:id="38"/>
    <w:bookmarkStart w:id="39" w:name="gitbased-workflow"/>
    <w:p>
      <w:pPr>
        <w:pStyle w:val="Heading2"/>
      </w:pPr>
      <w:r>
        <w:t xml:space="preserve">Git‑Based Workflow</w:t>
      </w:r>
    </w:p>
    <w:p>
      <w:pPr>
        <w:pStyle w:val="Compact"/>
        <w:numPr>
          <w:ilvl w:val="0"/>
          <w:numId w:val="1010"/>
        </w:numPr>
      </w:pPr>
      <w:r>
        <w:t xml:space="preserve">Content edits via PRs</w:t>
      </w:r>
    </w:p>
    <w:p>
      <w:pPr>
        <w:pStyle w:val="Compact"/>
        <w:numPr>
          <w:ilvl w:val="0"/>
          <w:numId w:val="1010"/>
        </w:numPr>
      </w:pPr>
      <w:r>
        <w:t xml:space="preserve">Merge = publish</w:t>
      </w:r>
    </w:p>
    <w:p>
      <w:pPr>
        <w:pStyle w:val="Compact"/>
        <w:numPr>
          <w:ilvl w:val="0"/>
          <w:numId w:val="1010"/>
        </w:numPr>
      </w:pPr>
      <w:r>
        <w:t xml:space="preserve">Rollbacks via Git</w:t>
      </w:r>
    </w:p>
    <w:p>
      <w:pPr>
        <w:pStyle w:val="FirstParagraph"/>
      </w:pPr>
      <w:r>
        <w:t xml:space="preserve">Optional (nice to have):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draft: true</w:t>
      </w:r>
      <w:r>
        <w:t xml:space="preserve"> </w:t>
      </w:r>
      <w:r>
        <w:t xml:space="preserve">hides essays from index in prod</w:t>
      </w:r>
      <w:r>
        <w:t xml:space="preserve"> </w:t>
      </w:r>
      <w:r>
        <w:t xml:space="preserve">- Basic sitemap generation</w:t>
      </w:r>
    </w:p>
    <w:p>
      <w:r>
        <w:pict>
          <v:rect style="width:0;height:1.5pt" o:hralign="center" o:hrstd="t" o:hr="t"/>
        </w:pict>
      </w:r>
    </w:p>
    <w:bookmarkEnd w:id="39"/>
    <w:bookmarkStart w:id="40" w:name="v1-deliverables-checklist"/>
    <w:p>
      <w:pPr>
        <w:pStyle w:val="Heading2"/>
      </w:pPr>
      <w:r>
        <w:t xml:space="preserve">v1 Deliverables Checklist</w:t>
      </w:r>
    </w:p>
    <w:p>
      <w:pPr>
        <w:pStyle w:val="Compact"/>
        <w:numPr>
          <w:ilvl w:val="0"/>
          <w:numId w:val="1011"/>
        </w:numPr>
      </w:pPr>
      <w:r>
        <w:t xml:space="preserve">Multi‑domain routing working locally and in prod</w:t>
      </w:r>
    </w:p>
    <w:p>
      <w:pPr>
        <w:pStyle w:val="Compact"/>
        <w:numPr>
          <w:ilvl w:val="0"/>
          <w:numId w:val="1012"/>
        </w:numPr>
      </w:pPr>
      <w:r>
        <w:t xml:space="preserve">Essay index per site</w:t>
      </w:r>
    </w:p>
    <w:p>
      <w:pPr>
        <w:pStyle w:val="Compact"/>
        <w:numPr>
          <w:ilvl w:val="0"/>
          <w:numId w:val="1013"/>
        </w:numPr>
      </w:pPr>
      <w:r>
        <w:t xml:space="preserve">Essay page rendering MDX</w:t>
      </w:r>
    </w:p>
    <w:p>
      <w:pPr>
        <w:pStyle w:val="Compact"/>
        <w:numPr>
          <w:ilvl w:val="0"/>
          <w:numId w:val="1014"/>
        </w:numPr>
      </w:pPr>
      <w:r>
        <w:t xml:space="preserve">Dimension selector switching content</w:t>
      </w:r>
    </w:p>
    <w:p>
      <w:pPr>
        <w:pStyle w:val="Compact"/>
        <w:numPr>
          <w:ilvl w:val="0"/>
          <w:numId w:val="1015"/>
        </w:numPr>
      </w:pPr>
      <w:r>
        <w:t xml:space="preserve">Invariant component fetching JSON</w:t>
      </w:r>
    </w:p>
    <w:p>
      <w:pPr>
        <w:pStyle w:val="Compact"/>
        <w:numPr>
          <w:ilvl w:val="0"/>
          <w:numId w:val="1016"/>
        </w:numPr>
      </w:pPr>
      <w:r>
        <w:t xml:space="preserve">Root‑trail footer enforced</w:t>
      </w:r>
    </w:p>
    <w:p>
      <w:pPr>
        <w:pStyle w:val="Compact"/>
        <w:numPr>
          <w:ilvl w:val="0"/>
          <w:numId w:val="1017"/>
        </w:numPr>
      </w:pPr>
      <w:r>
        <w:t xml:space="preserve">Minimal README:</w:t>
      </w:r>
      <w:r>
        <w:t xml:space="preserve"> </w:t>
      </w:r>
      <w:r>
        <w:t xml:space="preserve">“How to add an essay + dimension”</w:t>
      </w:r>
    </w:p>
    <w:p>
      <w:r>
        <w:pict>
          <v:rect style="width:0;height:1.5pt" o:hralign="center" o:hrstd="t" o:hr="t"/>
        </w:pict>
      </w:r>
    </w:p>
    <w:bookmarkEnd w:id="40"/>
    <w:bookmarkStart w:id="41" w:name="freedom-to-play-encouraged"/>
    <w:p>
      <w:pPr>
        <w:pStyle w:val="Heading2"/>
      </w:pPr>
      <w:r>
        <w:t xml:space="preserve">Freedom to Play (Encouraged)</w:t>
      </w:r>
    </w:p>
    <w:p>
      <w:pPr>
        <w:pStyle w:val="FirstParagraph"/>
      </w:pPr>
      <w:r>
        <w:t xml:space="preserve">You have freedom in:</w:t>
      </w:r>
      <w:r>
        <w:t xml:space="preserve"> </w:t>
      </w:r>
      <w:r>
        <w:t xml:space="preserve">- MDX plumbing</w:t>
      </w:r>
      <w:r>
        <w:t xml:space="preserve"> </w:t>
      </w:r>
      <w:r>
        <w:t xml:space="preserve">- Domain routing strategy</w:t>
      </w:r>
      <w:r>
        <w:t xml:space="preserve"> </w:t>
      </w:r>
      <w:r>
        <w:t xml:space="preserve">- Styling system</w:t>
      </w:r>
      <w:r>
        <w:t xml:space="preserve"> </w:t>
      </w:r>
      <w:r>
        <w:t xml:space="preserve">- Caching &amp; performance tactics</w:t>
      </w:r>
      <w:r>
        <w:t xml:space="preserve"> </w:t>
      </w:r>
      <w:r>
        <w:t xml:space="preserve">- Dimension UI design</w:t>
      </w:r>
    </w:p>
    <w:p>
      <w:pPr>
        <w:pStyle w:val="BodyText"/>
      </w:pPr>
      <w:r>
        <w:t xml:space="preserve">Please</w:t>
      </w:r>
      <w:r>
        <w:t xml:space="preserve"> </w:t>
      </w:r>
      <w:r>
        <w:rPr>
          <w:b/>
          <w:bCs/>
        </w:rPr>
        <w:t xml:space="preserve">do not change</w:t>
      </w:r>
      <w:r>
        <w:t xml:space="preserve"> </w:t>
      </w:r>
      <w:r>
        <w:t xml:space="preserve">without discussion:</w:t>
      </w:r>
      <w:r>
        <w:t xml:space="preserve"> </w:t>
      </w:r>
      <w:r>
        <w:t xml:space="preserve">- Content contracts (frontmatter keys)</w:t>
      </w:r>
      <w:r>
        <w:t xml:space="preserve"> </w:t>
      </w:r>
      <w:r>
        <w:t xml:space="preserve">- Invariant component API</w:t>
      </w:r>
      <w:r>
        <w:t xml:space="preserve"> </w:t>
      </w:r>
      <w:r>
        <w:t xml:space="preserve">- Guaranteed presence of root‑trail footer</w:t>
      </w:r>
    </w:p>
    <w:p>
      <w:r>
        <w:pict>
          <v:rect style="width:0;height:1.5pt" o:hralign="center" o:hrstd="t" o:hr="t"/>
        </w:pict>
      </w:r>
    </w:p>
    <w:bookmarkEnd w:id="41"/>
    <w:bookmarkStart w:id="42" w:name="guiding-principle"/>
    <w:p>
      <w:pPr>
        <w:pStyle w:val="Heading2"/>
      </w:pPr>
      <w:r>
        <w:t xml:space="preserve">Guiding Principle</w:t>
      </w:r>
    </w:p>
    <w:p>
      <w:pPr>
        <w:pStyle w:val="FirstParagraph"/>
      </w:pPr>
      <w:r>
        <w:t xml:space="preserve">This system should feel like</w:t>
      </w:r>
      <w:r>
        <w:t xml:space="preserve"> </w:t>
      </w:r>
      <w:r>
        <w:rPr>
          <w:b/>
          <w:bCs/>
        </w:rPr>
        <w:t xml:space="preserve">lanterns in a fog</w:t>
      </w:r>
      <w:r>
        <w:t xml:space="preserve">:</w:t>
      </w:r>
      <w:r>
        <w:t xml:space="preserve"> </w:t>
      </w:r>
      <w:r>
        <w:t xml:space="preserve">- Each page self‑contained</w:t>
      </w:r>
      <w:r>
        <w:t xml:space="preserve"> </w:t>
      </w:r>
      <w:r>
        <w:t xml:space="preserve">- Orientation always visible</w:t>
      </w:r>
      <w:r>
        <w:t xml:space="preserve"> </w:t>
      </w:r>
      <w:r>
        <w:t xml:space="preserve">- Depth without overwhelm</w:t>
      </w:r>
    </w:p>
    <w:p>
      <w:pPr>
        <w:pStyle w:val="BodyText"/>
      </w:pPr>
      <w:r>
        <w:t xml:space="preserve">We will iterate. v1 should be elegant, simple, and structurally honest.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2026-01-14T20:10:32Z</dcterms:created>
  <dcterms:modified xsi:type="dcterms:W3CDTF">2026-01-14T20:10:32Z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