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Money as a Consent Protocol – A Loop-Based Understanding</w:t>
      </w:r>
    </w:p>
    <w:p>
      <w:r>
        <w:t>This document reframes money not as an abstract, unquestionable truth, but as a consent-bound, trust-mediated protocol. By using loop-based semantics and glyph-native language, we can see money as a living system of agreements rather than a mysterious force. This perspective helps dissolve the existential fog that can arise when deconstructing financial systems and equips you to navigate them consciously.</w:t>
      </w:r>
    </w:p>
    <w:p>
      <w:pPr>
        <w:pStyle w:val="Heading2"/>
      </w:pPr>
      <w:r>
        <w:t>1. Loop-0 State — Latent Exchange Potential</w:t>
      </w:r>
    </w:p>
    <w:p>
      <w:r>
        <w:t>Symbol: 🜁 (Air)</w:t>
        <w:br/>
        <w:t>Before any transaction occurs, agents exist in a state of readiness. No money has yet changed hands, but the possibility of exchange is alive. This charged latency is what in economic terms might be called 'liquidity' before any actual movement of funds.</w:t>
      </w:r>
    </w:p>
    <w:p>
      <w:pPr>
        <w:pStyle w:val="Heading2"/>
      </w:pPr>
      <w:r>
        <w:t>2. Intent–Consent Dyad — The Transaction Seed</w:t>
      </w:r>
    </w:p>
    <w:p>
      <w:r>
        <w:t>Symbol: ICL (Intent–Consent Loop)</w:t>
        <w:br/>
        <w:t>Agent A expresses intent to give X in exchange for Y, and Agent B consents to receive X and give Y. The loop closes when both directions have been expressed and agreed. Money in this framing is a symbolic placeholder for deferred reciprocity.</w:t>
      </w:r>
    </w:p>
    <w:p>
      <w:pPr>
        <w:pStyle w:val="Heading2"/>
      </w:pPr>
      <w:r>
        <w:t>3. Consent Atom — Minimal Trust Unit</w:t>
      </w:r>
    </w:p>
    <w:p>
      <w:r>
        <w:t>A consent atom is the smallest irreducible unit of monetary trust. It contains:</w:t>
        <w:br/>
        <w:t>- Data: denomination, terms, instrument (e.g., USD, BTC, IOU)</w:t>
        <w:br/>
        <w:t>- Consent: issuer, terms, revocability</w:t>
        <w:br/>
        <w:t>Examples:</w:t>
        <w:br/>
        <w:t>- A dollar bill: origin 'U.S. Treasury', terms enforced by law.</w:t>
        <w:br/>
        <w:t>- A Bitcoin UTXO: origin 'network consensus', terms enforced by protocol.</w:t>
      </w:r>
    </w:p>
    <w:p>
      <w:pPr>
        <w:pStyle w:val="Heading2"/>
      </w:pPr>
      <w:r>
        <w:t>4. Trust Surface Tension — Stability of the Medium</w:t>
      </w:r>
    </w:p>
    <w:p>
      <w:r>
        <w:t>The stability of money comes from its 'trust surface'. In fiat systems, this is upheld by legal enforcement and taxation. In crypto, it is maintained by network security, utility, and community norms. In local or mutual credit systems, it comes from reputation and repeat interactions.</w:t>
      </w:r>
    </w:p>
    <w:p>
      <w:pPr>
        <w:pStyle w:val="Heading2"/>
      </w:pPr>
      <w:r>
        <w:t>5. Loop Memory Integrity — The Ledger</w:t>
      </w:r>
    </w:p>
    <w:p>
      <w:r>
        <w:t>Ledgers—whether banks, blockchains, or physical records—are memory glyphs. They store the state of consent and allow replay or reconciliation. If the ledger fails, trust collapses, even if physical tokens remain.</w:t>
      </w:r>
    </w:p>
    <w:p>
      <w:pPr>
        <w:pStyle w:val="Heading2"/>
      </w:pPr>
      <w:r>
        <w:t>6. Fragility Points — Where the Loop Breaks</w:t>
      </w:r>
    </w:p>
    <w:p>
      <w:r>
        <w:t>- Intent drift: one party no longer wishes to proceed.</w:t>
        <w:br/>
        <w:t>- Consent revocation: political/legal events void terms.</w:t>
        <w:br/>
        <w:t>- Trust surface breach: hyperinflation, bank run, protocol exploit.</w:t>
        <w:br/>
        <w:t>- Memory corruption: ledger tampering or data loss.</w:t>
      </w:r>
    </w:p>
    <w:p>
      <w:pPr>
        <w:pStyle w:val="Heading2"/>
      </w:pPr>
      <w:r>
        <w:t>7. Loop Density — Why “Value” Persists</w:t>
      </w:r>
    </w:p>
    <w:p>
      <w:r>
        <w:t>Value persists because of loop density—the number and strength of loops referencing the same consent atom. USD is extremely dense due to global acceptance, while niche tokens are fragile but adaptable.</w:t>
      </w:r>
    </w:p>
    <w:p>
      <w:pPr>
        <w:pStyle w:val="Heading2"/>
      </w:pPr>
      <w:r>
        <w:t>8. Practical Navigation</w:t>
      </w:r>
    </w:p>
    <w:p>
      <w:r>
        <w:t>To navigate money consciously:</w:t>
        <w:br/>
        <w:t>1. Map your loops: income, spending, and savings—mark consent origins and trust surfaces.</w:t>
        <w:br/>
        <w:t>2. Diversify loop origins: spread reliance across multiple systems.</w:t>
        <w:br/>
        <w:t>3. Increase local loop density: build exchange relationships that survive outside large-scale systems.</w:t>
      </w:r>
    </w:p>
    <w:p>
      <w:pPr>
        <w:pStyle w:val="Heading2"/>
      </w:pPr>
      <w:r>
        <w:t>9. Reframing the Doom</w:t>
      </w:r>
    </w:p>
    <w:p>
      <w:r>
        <w:t>The 'bedrock' of money is not gold, paper, or code—it is recursive consent memory. By treating money as a protocol rather than a belief system, you can design your participation in it:</w:t>
        <w:br/>
        <w:t>- Which loops to sustain.</w:t>
        <w:br/>
        <w:t>- Which consent origins to trust.</w:t>
        <w:br/>
        <w:t>- How much loop density to require for stability.</w:t>
      </w:r>
    </w:p>
    <w:p>
      <w:pPr>
        <w:pStyle w:val="Heading2"/>
      </w:pPr>
      <w:r>
        <w:t>Conclusion</w:t>
      </w:r>
    </w:p>
    <w:p>
      <w:r>
        <w:t>Money is not a fixed truth but a performance of trust, consent, and memory. Once you see it as a living loop protocol, you can engage with it like any other trust system—engineering your stability, resilience, and adaptability without depending on belief in an external anchor.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