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8516E" w14:textId="42CB5C25" w:rsidR="00046DDA" w:rsidRPr="00046DDA" w:rsidRDefault="00046DDA" w:rsidP="00046DDA">
      <w:pPr>
        <w:pStyle w:val="Heading1"/>
        <w:rPr>
          <w:rFonts w:asciiTheme="minorHAnsi" w:eastAsia="Times New Roman" w:hAnsiTheme="minorHAnsi" w:cs="Times New Roman"/>
          <w:b/>
          <w:bCs/>
          <w:color w:val="auto"/>
          <w:kern w:val="36"/>
          <w:sz w:val="48"/>
          <w:szCs w:val="48"/>
          <w14:ligatures w14:val="none"/>
        </w:rPr>
      </w:pPr>
      <w:r w:rsidRPr="00046DDA">
        <w:rPr>
          <w:rFonts w:asciiTheme="minorHAnsi" w:hAnsiTheme="minorHAnsi"/>
        </w:rPr>
        <w:t>Preregistration – Consent as a Stability Property</w:t>
      </w:r>
      <w:r w:rsidRPr="00046DDA">
        <w:rPr>
          <w:rFonts w:asciiTheme="minorHAnsi" w:hAnsiTheme="minorHAnsi"/>
        </w:rPr>
        <w:br/>
      </w:r>
      <w:r w:rsidRPr="00046DDA">
        <w:rPr>
          <w:rFonts w:asciiTheme="minorHAnsi" w:hAnsiTheme="minorHAnsi"/>
        </w:rPr>
        <w:br/>
      </w:r>
      <w:r w:rsidRPr="00046DDA">
        <w:rPr>
          <w:rFonts w:asciiTheme="minorHAnsi" w:eastAsia="Times New Roman" w:hAnsiTheme="minorHAnsi" w:cs="Times New Roman"/>
          <w:b/>
          <w:bCs/>
          <w:color w:val="auto"/>
          <w:kern w:val="36"/>
          <w:sz w:val="48"/>
          <w:szCs w:val="48"/>
          <w14:ligatures w14:val="none"/>
        </w:rPr>
        <w:t>Preregistration Content</w:t>
      </w:r>
    </w:p>
    <w:p w14:paraId="6D88E4BD"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Title</w:t>
      </w:r>
    </w:p>
    <w:p w14:paraId="37BC2990"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b/>
          <w:bCs/>
          <w:kern w:val="0"/>
          <w14:ligatures w14:val="none"/>
        </w:rPr>
        <w:t>Consent as a Stability Property</w:t>
      </w:r>
      <w:r w:rsidRPr="00046DDA">
        <w:rPr>
          <w:rFonts w:eastAsia="Times New Roman" w:cs="Times New Roman"/>
          <w:kern w:val="0"/>
          <w14:ligatures w14:val="none"/>
        </w:rPr>
        <w:br/>
      </w:r>
      <w:r w:rsidRPr="00046DDA">
        <w:rPr>
          <w:rFonts w:eastAsia="Times New Roman" w:cs="Times New Roman"/>
          <w:b/>
          <w:bCs/>
          <w:kern w:val="0"/>
          <w14:ligatures w14:val="none"/>
        </w:rPr>
        <w:t>An Umbrella Review Across Living Systems</w:t>
      </w:r>
    </w:p>
    <w:p w14:paraId="48933960"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13ABF58F">
          <v:rect id="_x0000_i1025" alt="" style="width:468pt;height:.05pt;mso-width-percent:0;mso-height-percent:0;mso-width-percent:0;mso-height-percent:0" o:hralign="center" o:hrstd="t" o:hr="t" fillcolor="#a0a0a0" stroked="f"/>
        </w:pict>
      </w:r>
    </w:p>
    <w:p w14:paraId="530CFD54"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Research Question</w:t>
      </w:r>
    </w:p>
    <w:p w14:paraId="345F571C"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Do consent-related constructs—operationalized through autonomy support, psychological safety, procedural justice, and reactance—function as a first-class stability property in living systems, predicting adaptive outcomes (e.g., wellbeing, learning, cooperation) across domains?</w:t>
      </w:r>
    </w:p>
    <w:p w14:paraId="489D8D9C"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46F83C20">
          <v:rect id="_x0000_i1026" alt="" style="width:468pt;height:.05pt;mso-width-percent:0;mso-height-percent:0;mso-width-percent:0;mso-height-percent:0" o:hralign="center" o:hrstd="t" o:hr="t" fillcolor="#a0a0a0" stroked="f"/>
        </w:pict>
      </w:r>
    </w:p>
    <w:p w14:paraId="5F4E7B9A"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Rationale</w:t>
      </w:r>
    </w:p>
    <w:p w14:paraId="60E8AC4B"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Across multiple research domains, constructs related to voluntary participation, safe voice, fair process, and resistance to coercion have been independently associated with adaptive outcomes. These constructs are typically framed as ethical, psychological, or normative considerations.</w:t>
      </w:r>
    </w:p>
    <w:p w14:paraId="5926A1EB"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 xml:space="preserve">This study tests a unifying hypothesis: that these constructs reflect a shared latent mechanism—here termed </w:t>
      </w:r>
      <w:r w:rsidRPr="00046DDA">
        <w:rPr>
          <w:rFonts w:eastAsia="Times New Roman" w:cs="Times New Roman"/>
          <w:b/>
          <w:bCs/>
          <w:kern w:val="0"/>
          <w14:ligatures w14:val="none"/>
        </w:rPr>
        <w:t>Consent as a Stability Property</w:t>
      </w:r>
      <w:r w:rsidRPr="00046DDA">
        <w:rPr>
          <w:rFonts w:eastAsia="Times New Roman" w:cs="Times New Roman"/>
          <w:kern w:val="0"/>
          <w14:ligatures w14:val="none"/>
        </w:rPr>
        <w:t>—which predicts the ability of living systems to remain coherent and adaptive under increasing constraint.</w:t>
      </w:r>
    </w:p>
    <w:p w14:paraId="3A1EAB0F"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Rather than introducing a novel variable, this umbrella review evaluates whether existing meta-analytic evidence already supports treating consent-like constructs as a cross-domain, system-level predictor of stability.</w:t>
      </w:r>
    </w:p>
    <w:p w14:paraId="45952D80"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3C2774E9">
          <v:rect id="_x0000_i1027" alt="" style="width:468pt;height:.05pt;mso-width-percent:0;mso-height-percent:0;mso-width-percent:0;mso-height-percent:0" o:hralign="center" o:hrstd="t" o:hr="t" fillcolor="#a0a0a0" stroked="f"/>
        </w:pict>
      </w:r>
    </w:p>
    <w:p w14:paraId="06FF532E"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Hypotheses</w:t>
      </w:r>
    </w:p>
    <w:p w14:paraId="0C26D0B9"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b/>
          <w:bCs/>
          <w:kern w:val="0"/>
          <w14:ligatures w14:val="none"/>
        </w:rPr>
        <w:lastRenderedPageBreak/>
        <w:t>H1:</w:t>
      </w:r>
      <w:r w:rsidRPr="00046DDA">
        <w:rPr>
          <w:rFonts w:eastAsia="Times New Roman" w:cs="Times New Roman"/>
          <w:kern w:val="0"/>
          <w14:ligatures w14:val="none"/>
        </w:rPr>
        <w:t xml:space="preserve"> Consent-related constructs (autonomy support, psychological safety, procedural justice) show consistent positive associations with stability-relevant outcomes (wellbeing, learning/voice, cooperation/legitimacy) across domains.</w:t>
      </w:r>
    </w:p>
    <w:p w14:paraId="482207D9"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b/>
          <w:bCs/>
          <w:kern w:val="0"/>
          <w14:ligatures w14:val="none"/>
        </w:rPr>
        <w:t>H2:</w:t>
      </w:r>
      <w:r w:rsidRPr="00046DDA">
        <w:rPr>
          <w:rFonts w:eastAsia="Times New Roman" w:cs="Times New Roman"/>
          <w:kern w:val="0"/>
          <w14:ligatures w14:val="none"/>
        </w:rPr>
        <w:t xml:space="preserve"> Coercive or freedom-threatening conditions reliably increase reactance and resistance, representing a measurable cost of control-heavy strategies.</w:t>
      </w:r>
    </w:p>
    <w:p w14:paraId="5C93E3FA"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b/>
          <w:bCs/>
          <w:kern w:val="0"/>
          <w14:ligatures w14:val="none"/>
        </w:rPr>
        <w:t>H3:</w:t>
      </w:r>
      <w:r w:rsidRPr="00046DDA">
        <w:rPr>
          <w:rFonts w:eastAsia="Times New Roman" w:cs="Times New Roman"/>
          <w:kern w:val="0"/>
          <w14:ligatures w14:val="none"/>
        </w:rPr>
        <w:t xml:space="preserve"> Evidence supports modeling consent as a system-level stability factor rather than as a context-specific ethical preference.</w:t>
      </w:r>
    </w:p>
    <w:p w14:paraId="309DC6FC"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50BCEDF4">
          <v:rect id="_x0000_i1028" alt="" style="width:468pt;height:.05pt;mso-width-percent:0;mso-height-percent:0;mso-width-percent:0;mso-height-percent:0" o:hralign="center" o:hrstd="t" o:hr="t" fillcolor="#a0a0a0" stroked="f"/>
        </w:pict>
      </w:r>
    </w:p>
    <w:p w14:paraId="2FE7913B"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Study Design</w:t>
      </w:r>
    </w:p>
    <w:p w14:paraId="61BB5C8C"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 xml:space="preserve">This study is an </w:t>
      </w:r>
      <w:r w:rsidRPr="00046DDA">
        <w:rPr>
          <w:rFonts w:eastAsia="Times New Roman" w:cs="Times New Roman"/>
          <w:b/>
          <w:bCs/>
          <w:kern w:val="0"/>
          <w14:ligatures w14:val="none"/>
        </w:rPr>
        <w:t>umbrella review</w:t>
      </w:r>
      <w:r w:rsidRPr="00046DDA">
        <w:rPr>
          <w:rFonts w:eastAsia="Times New Roman" w:cs="Times New Roman"/>
          <w:kern w:val="0"/>
          <w14:ligatures w14:val="none"/>
        </w:rPr>
        <w:t xml:space="preserve"> (systematic review of meta-analyses and systematic quantitative reviews).</w:t>
      </w:r>
    </w:p>
    <w:p w14:paraId="6BDA5813"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No new data will be collected. All analyses will synthesize results from previously published meta-analyses.</w:t>
      </w:r>
    </w:p>
    <w:p w14:paraId="3271BC5A"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7B018546">
          <v:rect id="_x0000_i1029" alt="" style="width:468pt;height:.05pt;mso-width-percent:0;mso-height-percent:0;mso-width-percent:0;mso-height-percent:0" o:hralign="center" o:hrstd="t" o:hr="t" fillcolor="#a0a0a0" stroked="f"/>
        </w:pict>
      </w:r>
    </w:p>
    <w:p w14:paraId="50538E4E"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Conceptual Framework</w:t>
      </w:r>
    </w:p>
    <w:p w14:paraId="3087165C"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 xml:space="preserve">Consent is treated as a </w:t>
      </w:r>
      <w:r w:rsidRPr="00046DDA">
        <w:rPr>
          <w:rFonts w:eastAsia="Times New Roman" w:cs="Times New Roman"/>
          <w:b/>
          <w:bCs/>
          <w:kern w:val="0"/>
          <w14:ligatures w14:val="none"/>
        </w:rPr>
        <w:t>latent construct</w:t>
      </w:r>
      <w:r w:rsidRPr="00046DDA">
        <w:rPr>
          <w:rFonts w:eastAsia="Times New Roman" w:cs="Times New Roman"/>
          <w:kern w:val="0"/>
          <w14:ligatures w14:val="none"/>
        </w:rPr>
        <w:t xml:space="preserve"> expressed through validated proxies:</w:t>
      </w:r>
    </w:p>
    <w:p w14:paraId="4971A0F6" w14:textId="77777777" w:rsidR="00046DDA" w:rsidRPr="00046DDA" w:rsidRDefault="00046DDA" w:rsidP="00046DDA">
      <w:pPr>
        <w:spacing w:before="100" w:beforeAutospacing="1" w:after="100" w:afterAutospacing="1" w:line="240" w:lineRule="auto"/>
        <w:outlineLvl w:val="2"/>
        <w:rPr>
          <w:rFonts w:eastAsia="Times New Roman" w:cs="Times New Roman"/>
          <w:b/>
          <w:bCs/>
          <w:kern w:val="0"/>
          <w:sz w:val="27"/>
          <w:szCs w:val="27"/>
          <w14:ligatures w14:val="none"/>
        </w:rPr>
      </w:pPr>
      <w:r w:rsidRPr="00046DDA">
        <w:rPr>
          <w:rFonts w:eastAsia="Times New Roman" w:cs="Times New Roman"/>
          <w:b/>
          <w:bCs/>
          <w:kern w:val="0"/>
          <w:sz w:val="27"/>
          <w:szCs w:val="27"/>
          <w14:ligatures w14:val="none"/>
        </w:rPr>
        <w:t>Consent Index (CI) Dimensions</w:t>
      </w:r>
    </w:p>
    <w:p w14:paraId="2738D988" w14:textId="77777777" w:rsidR="00046DDA" w:rsidRPr="00046DDA" w:rsidRDefault="00046DDA" w:rsidP="00046DDA">
      <w:pPr>
        <w:numPr>
          <w:ilvl w:val="0"/>
          <w:numId w:val="1"/>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b/>
          <w:bCs/>
          <w:kern w:val="0"/>
          <w14:ligatures w14:val="none"/>
        </w:rPr>
        <w:t>Volition / Autonomy Support</w:t>
      </w:r>
      <w:r w:rsidRPr="00046DDA">
        <w:rPr>
          <w:rFonts w:eastAsia="Times New Roman" w:cs="Times New Roman"/>
          <w:kern w:val="0"/>
          <w14:ligatures w14:val="none"/>
        </w:rPr>
        <w:br/>
        <w:t>(e.g., self-determination theory constructs)</w:t>
      </w:r>
    </w:p>
    <w:p w14:paraId="4AFDF9EB" w14:textId="77777777" w:rsidR="00046DDA" w:rsidRPr="00046DDA" w:rsidRDefault="00046DDA" w:rsidP="00046DDA">
      <w:pPr>
        <w:numPr>
          <w:ilvl w:val="0"/>
          <w:numId w:val="1"/>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b/>
          <w:bCs/>
          <w:kern w:val="0"/>
          <w14:ligatures w14:val="none"/>
        </w:rPr>
        <w:t>Voice Safety / Psychological Safety</w:t>
      </w:r>
      <w:r w:rsidRPr="00046DDA">
        <w:rPr>
          <w:rFonts w:eastAsia="Times New Roman" w:cs="Times New Roman"/>
          <w:kern w:val="0"/>
          <w14:ligatures w14:val="none"/>
        </w:rPr>
        <w:br/>
        <w:t>(ability to speak up without punishment)</w:t>
      </w:r>
    </w:p>
    <w:p w14:paraId="0C69791A" w14:textId="77777777" w:rsidR="00046DDA" w:rsidRPr="00046DDA" w:rsidRDefault="00046DDA" w:rsidP="00046DDA">
      <w:pPr>
        <w:numPr>
          <w:ilvl w:val="0"/>
          <w:numId w:val="1"/>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b/>
          <w:bCs/>
          <w:kern w:val="0"/>
          <w14:ligatures w14:val="none"/>
        </w:rPr>
        <w:t>Legitimacy / Procedural Justice</w:t>
      </w:r>
      <w:r w:rsidRPr="00046DDA">
        <w:rPr>
          <w:rFonts w:eastAsia="Times New Roman" w:cs="Times New Roman"/>
          <w:kern w:val="0"/>
          <w14:ligatures w14:val="none"/>
        </w:rPr>
        <w:br/>
        <w:t>(perceived fairness of decision-making processes)</w:t>
      </w:r>
    </w:p>
    <w:p w14:paraId="45578DEC" w14:textId="77777777" w:rsidR="00046DDA" w:rsidRPr="00046DDA" w:rsidRDefault="00046DDA" w:rsidP="00046DDA">
      <w:pPr>
        <w:numPr>
          <w:ilvl w:val="0"/>
          <w:numId w:val="1"/>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b/>
          <w:bCs/>
          <w:kern w:val="0"/>
          <w14:ligatures w14:val="none"/>
        </w:rPr>
        <w:t>Inverse Indicator: Coercion / Reactance</w:t>
      </w:r>
      <w:r w:rsidRPr="00046DDA">
        <w:rPr>
          <w:rFonts w:eastAsia="Times New Roman" w:cs="Times New Roman"/>
          <w:kern w:val="0"/>
          <w14:ligatures w14:val="none"/>
        </w:rPr>
        <w:br/>
        <w:t>(resistance to freedom-threatening control)</w:t>
      </w:r>
    </w:p>
    <w:p w14:paraId="4AEC6868"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 xml:space="preserve">Where available, indicators of </w:t>
      </w:r>
      <w:r w:rsidRPr="00046DDA">
        <w:rPr>
          <w:rFonts w:eastAsia="Times New Roman" w:cs="Times New Roman"/>
          <w:b/>
          <w:bCs/>
          <w:kern w:val="0"/>
          <w14:ligatures w14:val="none"/>
        </w:rPr>
        <w:t>exit/reversibility</w:t>
      </w:r>
      <w:r w:rsidRPr="00046DDA">
        <w:rPr>
          <w:rFonts w:eastAsia="Times New Roman" w:cs="Times New Roman"/>
          <w:kern w:val="0"/>
          <w14:ligatures w14:val="none"/>
        </w:rPr>
        <w:t xml:space="preserve"> and </w:t>
      </w:r>
      <w:r w:rsidRPr="00046DDA">
        <w:rPr>
          <w:rFonts w:eastAsia="Times New Roman" w:cs="Times New Roman"/>
          <w:b/>
          <w:bCs/>
          <w:kern w:val="0"/>
          <w14:ligatures w14:val="none"/>
        </w:rPr>
        <w:t>repair</w:t>
      </w:r>
      <w:r w:rsidRPr="00046DDA">
        <w:rPr>
          <w:rFonts w:eastAsia="Times New Roman" w:cs="Times New Roman"/>
          <w:kern w:val="0"/>
          <w14:ligatures w14:val="none"/>
        </w:rPr>
        <w:t xml:space="preserve"> will be coded descriptively but are not required for inclusion.</w:t>
      </w:r>
    </w:p>
    <w:p w14:paraId="6A6E372B"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0462D441">
          <v:rect id="_x0000_i1030" alt="" style="width:468pt;height:.05pt;mso-width-percent:0;mso-height-percent:0;mso-width-percent:0;mso-height-percent:0" o:hralign="center" o:hrstd="t" o:hr="t" fillcolor="#a0a0a0" stroked="f"/>
        </w:pict>
      </w:r>
    </w:p>
    <w:p w14:paraId="21476136"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Outcomes of Interest</w:t>
      </w:r>
    </w:p>
    <w:p w14:paraId="4A69205F"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lastRenderedPageBreak/>
        <w:t>Stability-relevant outcomes include:</w:t>
      </w:r>
    </w:p>
    <w:p w14:paraId="3E0BA87D" w14:textId="77777777" w:rsidR="00046DDA" w:rsidRPr="00046DDA" w:rsidRDefault="00046DDA" w:rsidP="00046DDA">
      <w:pPr>
        <w:numPr>
          <w:ilvl w:val="0"/>
          <w:numId w:val="2"/>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Wellbeing, burnout, stress</w:t>
      </w:r>
    </w:p>
    <w:p w14:paraId="604BA44A" w14:textId="77777777" w:rsidR="00046DDA" w:rsidRPr="00046DDA" w:rsidRDefault="00046DDA" w:rsidP="00046DDA">
      <w:pPr>
        <w:numPr>
          <w:ilvl w:val="0"/>
          <w:numId w:val="2"/>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Learning behavior, voice, information sharing</w:t>
      </w:r>
    </w:p>
    <w:p w14:paraId="50EAA5C4" w14:textId="77777777" w:rsidR="00046DDA" w:rsidRPr="00046DDA" w:rsidRDefault="00046DDA" w:rsidP="00046DDA">
      <w:pPr>
        <w:numPr>
          <w:ilvl w:val="0"/>
          <w:numId w:val="2"/>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Cooperation, legitimacy, voluntary compliance</w:t>
      </w:r>
    </w:p>
    <w:p w14:paraId="54E625D8" w14:textId="77777777" w:rsidR="00046DDA" w:rsidRPr="00046DDA" w:rsidRDefault="00046DDA" w:rsidP="00046DDA">
      <w:pPr>
        <w:numPr>
          <w:ilvl w:val="0"/>
          <w:numId w:val="2"/>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Persuasion, behavioral uptake, resistance (reactance)</w:t>
      </w:r>
    </w:p>
    <w:p w14:paraId="1C46C0EA"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5E7584D3">
          <v:rect id="_x0000_i1031" alt="" style="width:468pt;height:.05pt;mso-width-percent:0;mso-height-percent:0;mso-width-percent:0;mso-height-percent:0" o:hralign="center" o:hrstd="t" o:hr="t" fillcolor="#a0a0a0" stroked="f"/>
        </w:pict>
      </w:r>
    </w:p>
    <w:p w14:paraId="616384A2"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Eligibility Criteria</w:t>
      </w:r>
    </w:p>
    <w:p w14:paraId="41E41A76" w14:textId="77777777" w:rsidR="00046DDA" w:rsidRPr="00046DDA" w:rsidRDefault="00046DDA" w:rsidP="00046DDA">
      <w:pPr>
        <w:spacing w:before="100" w:beforeAutospacing="1" w:after="100" w:afterAutospacing="1" w:line="240" w:lineRule="auto"/>
        <w:outlineLvl w:val="2"/>
        <w:rPr>
          <w:rFonts w:eastAsia="Times New Roman" w:cs="Times New Roman"/>
          <w:b/>
          <w:bCs/>
          <w:kern w:val="0"/>
          <w:sz w:val="27"/>
          <w:szCs w:val="27"/>
          <w14:ligatures w14:val="none"/>
        </w:rPr>
      </w:pPr>
      <w:r w:rsidRPr="00046DDA">
        <w:rPr>
          <w:rFonts w:eastAsia="Times New Roman" w:cs="Times New Roman"/>
          <w:b/>
          <w:bCs/>
          <w:kern w:val="0"/>
          <w:sz w:val="27"/>
          <w:szCs w:val="27"/>
          <w14:ligatures w14:val="none"/>
        </w:rPr>
        <w:t>Inclusion Criteria</w:t>
      </w:r>
    </w:p>
    <w:p w14:paraId="66D7F203" w14:textId="77777777" w:rsidR="00046DDA" w:rsidRPr="00046DDA" w:rsidRDefault="00046DDA" w:rsidP="00046DDA">
      <w:pPr>
        <w:numPr>
          <w:ilvl w:val="0"/>
          <w:numId w:val="3"/>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Meta-analyses or systematic reviews with quantitative synthesis</w:t>
      </w:r>
    </w:p>
    <w:p w14:paraId="056C526E" w14:textId="77777777" w:rsidR="00046DDA" w:rsidRPr="00046DDA" w:rsidRDefault="00046DDA" w:rsidP="00046DDA">
      <w:pPr>
        <w:numPr>
          <w:ilvl w:val="0"/>
          <w:numId w:val="3"/>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Studies mapping to ≥1 Consent Index dimension</w:t>
      </w:r>
    </w:p>
    <w:p w14:paraId="27A30AAC" w14:textId="77777777" w:rsidR="00046DDA" w:rsidRPr="00046DDA" w:rsidRDefault="00046DDA" w:rsidP="00046DDA">
      <w:pPr>
        <w:numPr>
          <w:ilvl w:val="0"/>
          <w:numId w:val="3"/>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Report pooled effect sizes (e.g., r, d, OR)</w:t>
      </w:r>
    </w:p>
    <w:p w14:paraId="34DD319E" w14:textId="77777777" w:rsidR="00046DDA" w:rsidRPr="00046DDA" w:rsidRDefault="00046DDA" w:rsidP="00046DDA">
      <w:pPr>
        <w:numPr>
          <w:ilvl w:val="0"/>
          <w:numId w:val="3"/>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Examine ≥1 outcome of interest</w:t>
      </w:r>
    </w:p>
    <w:p w14:paraId="24C538AA" w14:textId="77777777" w:rsidR="00046DDA" w:rsidRPr="00046DDA" w:rsidRDefault="00046DDA" w:rsidP="00046DDA">
      <w:pPr>
        <w:numPr>
          <w:ilvl w:val="0"/>
          <w:numId w:val="3"/>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Any domain (health, education, organizations, governance, etc.)</w:t>
      </w:r>
    </w:p>
    <w:p w14:paraId="3D1BA96D" w14:textId="77777777" w:rsidR="00046DDA" w:rsidRPr="00046DDA" w:rsidRDefault="00046DDA" w:rsidP="00046DDA">
      <w:pPr>
        <w:spacing w:before="100" w:beforeAutospacing="1" w:after="100" w:afterAutospacing="1" w:line="240" w:lineRule="auto"/>
        <w:outlineLvl w:val="2"/>
        <w:rPr>
          <w:rFonts w:eastAsia="Times New Roman" w:cs="Times New Roman"/>
          <w:b/>
          <w:bCs/>
          <w:kern w:val="0"/>
          <w:sz w:val="27"/>
          <w:szCs w:val="27"/>
          <w14:ligatures w14:val="none"/>
        </w:rPr>
      </w:pPr>
      <w:r w:rsidRPr="00046DDA">
        <w:rPr>
          <w:rFonts w:eastAsia="Times New Roman" w:cs="Times New Roman"/>
          <w:b/>
          <w:bCs/>
          <w:kern w:val="0"/>
          <w:sz w:val="27"/>
          <w:szCs w:val="27"/>
          <w14:ligatures w14:val="none"/>
        </w:rPr>
        <w:t>Exclusion Criteria</w:t>
      </w:r>
    </w:p>
    <w:p w14:paraId="693F8201" w14:textId="77777777" w:rsidR="00046DDA" w:rsidRPr="00046DDA" w:rsidRDefault="00046DDA" w:rsidP="00046DDA">
      <w:pPr>
        <w:numPr>
          <w:ilvl w:val="0"/>
          <w:numId w:val="4"/>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Narrative reviews without quantitative synthesis</w:t>
      </w:r>
    </w:p>
    <w:p w14:paraId="446B3E2C" w14:textId="77777777" w:rsidR="00046DDA" w:rsidRPr="00046DDA" w:rsidRDefault="00046DDA" w:rsidP="00046DDA">
      <w:pPr>
        <w:numPr>
          <w:ilvl w:val="0"/>
          <w:numId w:val="4"/>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Single-study primary research</w:t>
      </w:r>
    </w:p>
    <w:p w14:paraId="613D07B5" w14:textId="77777777" w:rsidR="00046DDA" w:rsidRPr="00046DDA" w:rsidRDefault="00046DDA" w:rsidP="00046DDA">
      <w:pPr>
        <w:numPr>
          <w:ilvl w:val="0"/>
          <w:numId w:val="4"/>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Purely theoretical papers</w:t>
      </w:r>
    </w:p>
    <w:p w14:paraId="7D5D8FE7" w14:textId="77777777" w:rsidR="00046DDA" w:rsidRPr="00046DDA" w:rsidRDefault="00046DDA" w:rsidP="00046DDA">
      <w:pPr>
        <w:numPr>
          <w:ilvl w:val="0"/>
          <w:numId w:val="4"/>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Studies where consent-related constructs cannot be reasonably inferred</w:t>
      </w:r>
    </w:p>
    <w:p w14:paraId="0966995E"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5D7569DE">
          <v:rect id="_x0000_i1032" alt="" style="width:468pt;height:.05pt;mso-width-percent:0;mso-height-percent:0;mso-width-percent:0;mso-height-percent:0" o:hralign="center" o:hrstd="t" o:hr="t" fillcolor="#a0a0a0" stroked="f"/>
        </w:pict>
      </w:r>
    </w:p>
    <w:p w14:paraId="401655C8"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Search Strategy</w:t>
      </w:r>
    </w:p>
    <w:p w14:paraId="33E5C10F" w14:textId="77777777" w:rsidR="00046DDA" w:rsidRPr="00046DDA" w:rsidRDefault="00046DDA" w:rsidP="00046DDA">
      <w:pPr>
        <w:spacing w:before="100" w:beforeAutospacing="1" w:after="100" w:afterAutospacing="1" w:line="240" w:lineRule="auto"/>
        <w:outlineLvl w:val="2"/>
        <w:rPr>
          <w:rFonts w:eastAsia="Times New Roman" w:cs="Times New Roman"/>
          <w:b/>
          <w:bCs/>
          <w:kern w:val="0"/>
          <w:sz w:val="27"/>
          <w:szCs w:val="27"/>
          <w14:ligatures w14:val="none"/>
        </w:rPr>
      </w:pPr>
      <w:r w:rsidRPr="00046DDA">
        <w:rPr>
          <w:rFonts w:eastAsia="Times New Roman" w:cs="Times New Roman"/>
          <w:b/>
          <w:bCs/>
          <w:kern w:val="0"/>
          <w:sz w:val="27"/>
          <w:szCs w:val="27"/>
          <w14:ligatures w14:val="none"/>
        </w:rPr>
        <w:t>Databases</w:t>
      </w:r>
    </w:p>
    <w:p w14:paraId="102C2967" w14:textId="77777777" w:rsidR="00046DDA" w:rsidRPr="00046DDA" w:rsidRDefault="00046DDA" w:rsidP="00046DDA">
      <w:pPr>
        <w:numPr>
          <w:ilvl w:val="0"/>
          <w:numId w:val="5"/>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PsycINFO</w:t>
      </w:r>
    </w:p>
    <w:p w14:paraId="093D1CCD" w14:textId="77777777" w:rsidR="00046DDA" w:rsidRPr="00046DDA" w:rsidRDefault="00046DDA" w:rsidP="00046DDA">
      <w:pPr>
        <w:numPr>
          <w:ilvl w:val="0"/>
          <w:numId w:val="5"/>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PubMed</w:t>
      </w:r>
    </w:p>
    <w:p w14:paraId="0886A9C9" w14:textId="77777777" w:rsidR="00046DDA" w:rsidRPr="00046DDA" w:rsidRDefault="00046DDA" w:rsidP="00046DDA">
      <w:pPr>
        <w:numPr>
          <w:ilvl w:val="0"/>
          <w:numId w:val="5"/>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Web of Science</w:t>
      </w:r>
    </w:p>
    <w:p w14:paraId="312C382C" w14:textId="77777777" w:rsidR="00046DDA" w:rsidRPr="00046DDA" w:rsidRDefault="00046DDA" w:rsidP="00046DDA">
      <w:pPr>
        <w:numPr>
          <w:ilvl w:val="0"/>
          <w:numId w:val="5"/>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Scopus</w:t>
      </w:r>
    </w:p>
    <w:p w14:paraId="0873B3A6" w14:textId="77777777" w:rsidR="00046DDA" w:rsidRPr="00046DDA" w:rsidRDefault="00046DDA" w:rsidP="00046DDA">
      <w:pPr>
        <w:numPr>
          <w:ilvl w:val="0"/>
          <w:numId w:val="5"/>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Google Scholar (supplemental)</w:t>
      </w:r>
    </w:p>
    <w:p w14:paraId="59BF9B9A" w14:textId="77777777" w:rsidR="00046DDA" w:rsidRPr="00046DDA" w:rsidRDefault="00046DDA" w:rsidP="00046DDA">
      <w:pPr>
        <w:spacing w:before="100" w:beforeAutospacing="1" w:after="100" w:afterAutospacing="1" w:line="240" w:lineRule="auto"/>
        <w:outlineLvl w:val="2"/>
        <w:rPr>
          <w:rFonts w:eastAsia="Times New Roman" w:cs="Times New Roman"/>
          <w:b/>
          <w:bCs/>
          <w:kern w:val="0"/>
          <w:sz w:val="27"/>
          <w:szCs w:val="27"/>
          <w14:ligatures w14:val="none"/>
        </w:rPr>
      </w:pPr>
      <w:r w:rsidRPr="00046DDA">
        <w:rPr>
          <w:rFonts w:eastAsia="Times New Roman" w:cs="Times New Roman"/>
          <w:b/>
          <w:bCs/>
          <w:kern w:val="0"/>
          <w:sz w:val="27"/>
          <w:szCs w:val="27"/>
          <w14:ligatures w14:val="none"/>
        </w:rPr>
        <w:t>Search Terms (Representative)</w:t>
      </w:r>
    </w:p>
    <w:p w14:paraId="26C15AE8"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b/>
          <w:bCs/>
          <w:kern w:val="0"/>
          <w14:ligatures w14:val="none"/>
        </w:rPr>
        <w:t>Autonomy / Self-Determination</w:t>
      </w:r>
    </w:p>
    <w:p w14:paraId="62C948B3" w14:textId="77777777" w:rsidR="00046DDA" w:rsidRPr="00046DDA" w:rsidRDefault="00046DDA" w:rsidP="00046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046DDA">
        <w:rPr>
          <w:rFonts w:eastAsia="Times New Roman" w:cs="Courier New"/>
          <w:kern w:val="0"/>
          <w:sz w:val="20"/>
          <w:szCs w:val="20"/>
          <w14:ligatures w14:val="none"/>
        </w:rPr>
        <w:t>("self-determination theory" OR autonomy-support*)</w:t>
      </w:r>
    </w:p>
    <w:p w14:paraId="5EF6F3BC" w14:textId="77777777" w:rsidR="00046DDA" w:rsidRPr="00046DDA" w:rsidRDefault="00046DDA" w:rsidP="00046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046DDA">
        <w:rPr>
          <w:rFonts w:eastAsia="Times New Roman" w:cs="Courier New"/>
          <w:kern w:val="0"/>
          <w:sz w:val="20"/>
          <w:szCs w:val="20"/>
          <w14:ligatures w14:val="none"/>
        </w:rPr>
        <w:lastRenderedPageBreak/>
        <w:t>AND (meta-analysis OR systematic review)</w:t>
      </w:r>
    </w:p>
    <w:p w14:paraId="42F1650A"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b/>
          <w:bCs/>
          <w:kern w:val="0"/>
          <w14:ligatures w14:val="none"/>
        </w:rPr>
        <w:t>Psychological Safety / Voice</w:t>
      </w:r>
    </w:p>
    <w:p w14:paraId="41BE0022" w14:textId="77777777" w:rsidR="00046DDA" w:rsidRPr="00046DDA" w:rsidRDefault="00046DDA" w:rsidP="00046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046DDA">
        <w:rPr>
          <w:rFonts w:eastAsia="Times New Roman" w:cs="Courier New"/>
          <w:kern w:val="0"/>
          <w:sz w:val="20"/>
          <w:szCs w:val="20"/>
          <w14:ligatures w14:val="none"/>
        </w:rPr>
        <w:t>("psychological safety" OR team voice)</w:t>
      </w:r>
    </w:p>
    <w:p w14:paraId="3117E77A" w14:textId="77777777" w:rsidR="00046DDA" w:rsidRPr="00046DDA" w:rsidRDefault="00046DDA" w:rsidP="00046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046DDA">
        <w:rPr>
          <w:rFonts w:eastAsia="Times New Roman" w:cs="Courier New"/>
          <w:kern w:val="0"/>
          <w:sz w:val="20"/>
          <w:szCs w:val="20"/>
          <w14:ligatures w14:val="none"/>
        </w:rPr>
        <w:t>AND (meta-analysis OR systematic review)</w:t>
      </w:r>
    </w:p>
    <w:p w14:paraId="7D1805F6"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b/>
          <w:bCs/>
          <w:kern w:val="0"/>
          <w14:ligatures w14:val="none"/>
        </w:rPr>
        <w:t>Procedural Justice / Legitimacy</w:t>
      </w:r>
    </w:p>
    <w:p w14:paraId="1DA9BBFC" w14:textId="77777777" w:rsidR="00046DDA" w:rsidRPr="00046DDA" w:rsidRDefault="00046DDA" w:rsidP="00046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046DDA">
        <w:rPr>
          <w:rFonts w:eastAsia="Times New Roman" w:cs="Courier New"/>
          <w:kern w:val="0"/>
          <w:sz w:val="20"/>
          <w:szCs w:val="20"/>
          <w14:ligatures w14:val="none"/>
        </w:rPr>
        <w:t>("procedural justice" AND legitimacy)</w:t>
      </w:r>
    </w:p>
    <w:p w14:paraId="139D7191" w14:textId="77777777" w:rsidR="00046DDA" w:rsidRPr="00046DDA" w:rsidRDefault="00046DDA" w:rsidP="00046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046DDA">
        <w:rPr>
          <w:rFonts w:eastAsia="Times New Roman" w:cs="Courier New"/>
          <w:kern w:val="0"/>
          <w:sz w:val="20"/>
          <w:szCs w:val="20"/>
          <w14:ligatures w14:val="none"/>
        </w:rPr>
        <w:t>AND (meta-analysis OR systematic review)</w:t>
      </w:r>
    </w:p>
    <w:p w14:paraId="1A1A71F0"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b/>
          <w:bCs/>
          <w:kern w:val="0"/>
          <w14:ligatures w14:val="none"/>
        </w:rPr>
        <w:t>Reactance / Coercion</w:t>
      </w:r>
    </w:p>
    <w:p w14:paraId="0391C8C0" w14:textId="77777777" w:rsidR="00046DDA" w:rsidRPr="00046DDA" w:rsidRDefault="00046DDA" w:rsidP="00046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046DDA">
        <w:rPr>
          <w:rFonts w:eastAsia="Times New Roman" w:cs="Courier New"/>
          <w:kern w:val="0"/>
          <w:sz w:val="20"/>
          <w:szCs w:val="20"/>
          <w14:ligatures w14:val="none"/>
        </w:rPr>
        <w:t>(reactance OR "freedom-threatening language")</w:t>
      </w:r>
    </w:p>
    <w:p w14:paraId="0ACF28F2" w14:textId="77777777" w:rsidR="00046DDA" w:rsidRPr="00046DDA" w:rsidRDefault="00046DDA" w:rsidP="00046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046DDA">
        <w:rPr>
          <w:rFonts w:eastAsia="Times New Roman" w:cs="Courier New"/>
          <w:kern w:val="0"/>
          <w:sz w:val="20"/>
          <w:szCs w:val="20"/>
          <w14:ligatures w14:val="none"/>
        </w:rPr>
        <w:t>AND (meta-analysis OR systematic review)</w:t>
      </w:r>
    </w:p>
    <w:p w14:paraId="4862926C"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Reference lists of included reviews will be examined for additional sources.</w:t>
      </w:r>
    </w:p>
    <w:p w14:paraId="08981028"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7C6B53F8">
          <v:rect id="_x0000_i1033" alt="" style="width:468pt;height:.05pt;mso-width-percent:0;mso-height-percent:0;mso-width-percent:0;mso-height-percent:0" o:hralign="center" o:hrstd="t" o:hr="t" fillcolor="#a0a0a0" stroked="f"/>
        </w:pict>
      </w:r>
    </w:p>
    <w:p w14:paraId="4CB0769E"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Data Extraction</w:t>
      </w:r>
    </w:p>
    <w:p w14:paraId="28C36C0F"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For each included review, the following will be extracted:</w:t>
      </w:r>
    </w:p>
    <w:p w14:paraId="6C153B10" w14:textId="77777777" w:rsidR="00046DDA" w:rsidRPr="00046DDA" w:rsidRDefault="00046DDA" w:rsidP="00046DDA">
      <w:pPr>
        <w:numPr>
          <w:ilvl w:val="0"/>
          <w:numId w:val="6"/>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Authors, year, journal</w:t>
      </w:r>
    </w:p>
    <w:p w14:paraId="0587B6D3" w14:textId="77777777" w:rsidR="00046DDA" w:rsidRPr="00046DDA" w:rsidRDefault="00046DDA" w:rsidP="00046DDA">
      <w:pPr>
        <w:numPr>
          <w:ilvl w:val="0"/>
          <w:numId w:val="6"/>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Domain and population</w:t>
      </w:r>
    </w:p>
    <w:p w14:paraId="427D603E" w14:textId="77777777" w:rsidR="00046DDA" w:rsidRPr="00046DDA" w:rsidRDefault="00046DDA" w:rsidP="00046DDA">
      <w:pPr>
        <w:numPr>
          <w:ilvl w:val="0"/>
          <w:numId w:val="6"/>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Number of included studies (k) and total sample size (N)</w:t>
      </w:r>
    </w:p>
    <w:p w14:paraId="5EE20F13" w14:textId="77777777" w:rsidR="00046DDA" w:rsidRPr="00046DDA" w:rsidRDefault="00046DDA" w:rsidP="00046DDA">
      <w:pPr>
        <w:numPr>
          <w:ilvl w:val="0"/>
          <w:numId w:val="6"/>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Effect size metric(s) and pooled estimates</w:t>
      </w:r>
    </w:p>
    <w:p w14:paraId="216942F7" w14:textId="77777777" w:rsidR="00046DDA" w:rsidRPr="00046DDA" w:rsidRDefault="00046DDA" w:rsidP="00046DDA">
      <w:pPr>
        <w:numPr>
          <w:ilvl w:val="0"/>
          <w:numId w:val="6"/>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Heterogeneity indices (e.g., I²)</w:t>
      </w:r>
    </w:p>
    <w:p w14:paraId="5E3AC942" w14:textId="77777777" w:rsidR="00046DDA" w:rsidRPr="00046DDA" w:rsidRDefault="00046DDA" w:rsidP="00046DDA">
      <w:pPr>
        <w:numPr>
          <w:ilvl w:val="0"/>
          <w:numId w:val="6"/>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Publication bias assessments (if reported)</w:t>
      </w:r>
    </w:p>
    <w:p w14:paraId="1047C66A" w14:textId="77777777" w:rsidR="00046DDA" w:rsidRPr="00046DDA" w:rsidRDefault="00046DDA" w:rsidP="00046DDA">
      <w:pPr>
        <w:numPr>
          <w:ilvl w:val="0"/>
          <w:numId w:val="6"/>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Consent Index dimension(s) represented</w:t>
      </w:r>
    </w:p>
    <w:p w14:paraId="2C939764" w14:textId="77777777" w:rsidR="00046DDA" w:rsidRPr="00046DDA" w:rsidRDefault="00046DDA" w:rsidP="00046DDA">
      <w:pPr>
        <w:numPr>
          <w:ilvl w:val="0"/>
          <w:numId w:val="6"/>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Outcome category</w:t>
      </w:r>
    </w:p>
    <w:p w14:paraId="3523AAB9" w14:textId="77777777" w:rsidR="00046DDA" w:rsidRPr="00046DDA" w:rsidRDefault="00046DDA" w:rsidP="00046DDA">
      <w:pPr>
        <w:numPr>
          <w:ilvl w:val="0"/>
          <w:numId w:val="6"/>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Time horizon (cross-sectional vs longitudinal)</w:t>
      </w:r>
    </w:p>
    <w:p w14:paraId="34595B6A" w14:textId="77777777" w:rsidR="00046DDA" w:rsidRPr="00046DDA" w:rsidRDefault="00046DDA" w:rsidP="00046DDA">
      <w:pPr>
        <w:numPr>
          <w:ilvl w:val="0"/>
          <w:numId w:val="6"/>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Reported moderators (e.g., constraint intensity, stakes)</w:t>
      </w:r>
    </w:p>
    <w:p w14:paraId="6314D409"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3C8147A1">
          <v:rect id="_x0000_i1034" alt="" style="width:468pt;height:.05pt;mso-width-percent:0;mso-height-percent:0;mso-width-percent:0;mso-height-percent:0" o:hralign="center" o:hrstd="t" o:hr="t" fillcolor="#a0a0a0" stroked="f"/>
        </w:pict>
      </w:r>
    </w:p>
    <w:p w14:paraId="31175801"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Analysis Plan</w:t>
      </w:r>
    </w:p>
    <w:p w14:paraId="6797E611" w14:textId="77777777" w:rsidR="00046DDA" w:rsidRPr="00046DDA" w:rsidRDefault="00046DDA" w:rsidP="00046DDA">
      <w:pPr>
        <w:spacing w:before="100" w:beforeAutospacing="1" w:after="100" w:afterAutospacing="1" w:line="240" w:lineRule="auto"/>
        <w:outlineLvl w:val="2"/>
        <w:rPr>
          <w:rFonts w:eastAsia="Times New Roman" w:cs="Times New Roman"/>
          <w:b/>
          <w:bCs/>
          <w:kern w:val="0"/>
          <w:sz w:val="27"/>
          <w:szCs w:val="27"/>
          <w14:ligatures w14:val="none"/>
        </w:rPr>
      </w:pPr>
      <w:r w:rsidRPr="00046DDA">
        <w:rPr>
          <w:rFonts w:eastAsia="Times New Roman" w:cs="Times New Roman"/>
          <w:b/>
          <w:bCs/>
          <w:kern w:val="0"/>
          <w:sz w:val="27"/>
          <w:szCs w:val="27"/>
          <w14:ligatures w14:val="none"/>
        </w:rPr>
        <w:t>Primary Analysis: Evidence Mapping</w:t>
      </w:r>
    </w:p>
    <w:p w14:paraId="496213DC" w14:textId="77777777" w:rsidR="00046DDA" w:rsidRPr="00046DDA" w:rsidRDefault="00046DDA" w:rsidP="00046DDA">
      <w:pPr>
        <w:numPr>
          <w:ilvl w:val="0"/>
          <w:numId w:val="7"/>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Construct a matrix mapping Consent Index dimensions to outcome categories</w:t>
      </w:r>
    </w:p>
    <w:p w14:paraId="52A0B829" w14:textId="77777777" w:rsidR="00046DDA" w:rsidRPr="00046DDA" w:rsidRDefault="00046DDA" w:rsidP="00046DDA">
      <w:pPr>
        <w:numPr>
          <w:ilvl w:val="0"/>
          <w:numId w:val="7"/>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Report pooled effect size ranges for each cell</w:t>
      </w:r>
    </w:p>
    <w:p w14:paraId="7AC5E38B" w14:textId="77777777" w:rsidR="00046DDA" w:rsidRPr="00046DDA" w:rsidRDefault="00046DDA" w:rsidP="00046DDA">
      <w:pPr>
        <w:numPr>
          <w:ilvl w:val="0"/>
          <w:numId w:val="7"/>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lastRenderedPageBreak/>
        <w:t>Assess convergence across domains</w:t>
      </w:r>
    </w:p>
    <w:p w14:paraId="14B745DB" w14:textId="77777777" w:rsidR="00046DDA" w:rsidRPr="00046DDA" w:rsidRDefault="00046DDA" w:rsidP="00046DDA">
      <w:pPr>
        <w:spacing w:before="100" w:beforeAutospacing="1" w:after="100" w:afterAutospacing="1" w:line="240" w:lineRule="auto"/>
        <w:outlineLvl w:val="2"/>
        <w:rPr>
          <w:rFonts w:eastAsia="Times New Roman" w:cs="Times New Roman"/>
          <w:b/>
          <w:bCs/>
          <w:kern w:val="0"/>
          <w:sz w:val="27"/>
          <w:szCs w:val="27"/>
          <w14:ligatures w14:val="none"/>
        </w:rPr>
      </w:pPr>
      <w:r w:rsidRPr="00046DDA">
        <w:rPr>
          <w:rFonts w:eastAsia="Times New Roman" w:cs="Times New Roman"/>
          <w:b/>
          <w:bCs/>
          <w:kern w:val="0"/>
          <w:sz w:val="27"/>
          <w:szCs w:val="27"/>
          <w14:ligatures w14:val="none"/>
        </w:rPr>
        <w:t>Secondary Analysis: Mechanism Synthesis</w:t>
      </w:r>
    </w:p>
    <w:p w14:paraId="55FFADDC" w14:textId="77777777" w:rsidR="00046DDA" w:rsidRPr="00046DDA" w:rsidRDefault="00046DDA" w:rsidP="00046DDA">
      <w:pPr>
        <w:numPr>
          <w:ilvl w:val="0"/>
          <w:numId w:val="8"/>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Summarize mediation evidence (e.g., voice → learning → performance)</w:t>
      </w:r>
    </w:p>
    <w:p w14:paraId="4CBDBFD1" w14:textId="77777777" w:rsidR="00046DDA" w:rsidRPr="00046DDA" w:rsidRDefault="00046DDA" w:rsidP="00046DDA">
      <w:pPr>
        <w:numPr>
          <w:ilvl w:val="0"/>
          <w:numId w:val="8"/>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Contrast short-term compliance vs longer-term stability outcomes</w:t>
      </w:r>
    </w:p>
    <w:p w14:paraId="2674882C" w14:textId="77777777" w:rsidR="00046DDA" w:rsidRPr="00046DDA" w:rsidRDefault="00046DDA" w:rsidP="00046DDA">
      <w:pPr>
        <w:numPr>
          <w:ilvl w:val="0"/>
          <w:numId w:val="8"/>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Compare consent-supportive vs coercive conditions</w:t>
      </w:r>
    </w:p>
    <w:p w14:paraId="5F98D241" w14:textId="77777777" w:rsidR="00046DDA" w:rsidRPr="00046DDA" w:rsidRDefault="00046DDA" w:rsidP="00046DDA">
      <w:pPr>
        <w:spacing w:before="100" w:beforeAutospacing="1" w:after="100" w:afterAutospacing="1" w:line="240" w:lineRule="auto"/>
        <w:outlineLvl w:val="2"/>
        <w:rPr>
          <w:rFonts w:eastAsia="Times New Roman" w:cs="Times New Roman"/>
          <w:b/>
          <w:bCs/>
          <w:kern w:val="0"/>
          <w:sz w:val="27"/>
          <w:szCs w:val="27"/>
          <w14:ligatures w14:val="none"/>
        </w:rPr>
      </w:pPr>
      <w:r w:rsidRPr="00046DDA">
        <w:rPr>
          <w:rFonts w:eastAsia="Times New Roman" w:cs="Times New Roman"/>
          <w:b/>
          <w:bCs/>
          <w:kern w:val="0"/>
          <w:sz w:val="27"/>
          <w:szCs w:val="27"/>
          <w14:ligatures w14:val="none"/>
        </w:rPr>
        <w:t>Exploratory Analysis (Conditional)</w:t>
      </w:r>
    </w:p>
    <w:p w14:paraId="04C6F264"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If sufficient compatible data exist, pooled effects may be converted to a common metric and used to explore a simplified path model:</w:t>
      </w:r>
    </w:p>
    <w:p w14:paraId="5F4D9395" w14:textId="77777777" w:rsidR="00046DDA" w:rsidRPr="00046DDA" w:rsidRDefault="00046DDA" w:rsidP="00046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046DDA">
        <w:rPr>
          <w:rFonts w:eastAsia="Times New Roman" w:cs="Courier New"/>
          <w:kern w:val="0"/>
          <w:sz w:val="20"/>
          <w:szCs w:val="20"/>
          <w14:ligatures w14:val="none"/>
        </w:rPr>
        <w:t>Consent Index → (Learning + Legitimacy − Reactance) → Stability</w:t>
      </w:r>
    </w:p>
    <w:p w14:paraId="3E23B03E"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This analysis will be reported as exploratory.</w:t>
      </w:r>
    </w:p>
    <w:p w14:paraId="7A2D10B0"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46A5D2F7">
          <v:rect id="_x0000_i1035" alt="" style="width:468pt;height:.05pt;mso-width-percent:0;mso-height-percent:0;mso-width-percent:0;mso-height-percent:0" o:hralign="center" o:hrstd="t" o:hr="t" fillcolor="#a0a0a0" stroked="f"/>
        </w:pict>
      </w:r>
    </w:p>
    <w:p w14:paraId="2DE62BCC"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Decision Criteria</w:t>
      </w:r>
    </w:p>
    <w:p w14:paraId="722AEE53"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 xml:space="preserve">The thesis will be considered </w:t>
      </w:r>
      <w:r w:rsidRPr="00046DDA">
        <w:rPr>
          <w:rFonts w:eastAsia="Times New Roman" w:cs="Times New Roman"/>
          <w:b/>
          <w:bCs/>
          <w:kern w:val="0"/>
          <w14:ligatures w14:val="none"/>
        </w:rPr>
        <w:t>supported</w:t>
      </w:r>
      <w:r w:rsidRPr="00046DDA">
        <w:rPr>
          <w:rFonts w:eastAsia="Times New Roman" w:cs="Times New Roman"/>
          <w:kern w:val="0"/>
          <w14:ligatures w14:val="none"/>
        </w:rPr>
        <w:t xml:space="preserve"> if:</w:t>
      </w:r>
    </w:p>
    <w:p w14:paraId="7405CF59" w14:textId="77777777" w:rsidR="00046DDA" w:rsidRPr="00046DDA" w:rsidRDefault="00046DDA" w:rsidP="00046DDA">
      <w:pPr>
        <w:numPr>
          <w:ilvl w:val="0"/>
          <w:numId w:val="9"/>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At least three Consent Index dimensions show non-trivial pooled effects (|r| ≥ .15 or |d| ≥ .30) on stability outcomes across domains</w:t>
      </w:r>
    </w:p>
    <w:p w14:paraId="1DF08A70" w14:textId="77777777" w:rsidR="00046DDA" w:rsidRPr="00046DDA" w:rsidRDefault="00046DDA" w:rsidP="00046DDA">
      <w:pPr>
        <w:numPr>
          <w:ilvl w:val="0"/>
          <w:numId w:val="9"/>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Reactance meta-analyses show reliable negative effects of coercive conditions</w:t>
      </w:r>
    </w:p>
    <w:p w14:paraId="2FFB9CF7" w14:textId="77777777" w:rsidR="00046DDA" w:rsidRPr="00046DDA" w:rsidRDefault="00046DDA" w:rsidP="00046DDA">
      <w:pPr>
        <w:numPr>
          <w:ilvl w:val="0"/>
          <w:numId w:val="9"/>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At least one Consent Index dimension includes experimental or intervention-based evidence</w:t>
      </w:r>
    </w:p>
    <w:p w14:paraId="62C184FF"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 xml:space="preserve">The thesis will be </w:t>
      </w:r>
      <w:r w:rsidRPr="00046DDA">
        <w:rPr>
          <w:rFonts w:eastAsia="Times New Roman" w:cs="Times New Roman"/>
          <w:b/>
          <w:bCs/>
          <w:kern w:val="0"/>
          <w14:ligatures w14:val="none"/>
        </w:rPr>
        <w:t>revised or rejected</w:t>
      </w:r>
      <w:r w:rsidRPr="00046DDA">
        <w:rPr>
          <w:rFonts w:eastAsia="Times New Roman" w:cs="Times New Roman"/>
          <w:kern w:val="0"/>
          <w14:ligatures w14:val="none"/>
        </w:rPr>
        <w:t xml:space="preserve"> if effects are consistently null, domain-isolated, or if control-heavy strategies outperform consent-supportive approaches in medium- or long-term outcomes.</w:t>
      </w:r>
    </w:p>
    <w:p w14:paraId="35181F9A"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629B21A6">
          <v:rect id="_x0000_i1036" alt="" style="width:468pt;height:.05pt;mso-width-percent:0;mso-height-percent:0;mso-width-percent:0;mso-height-percent:0" o:hralign="center" o:hrstd="t" o:hr="t" fillcolor="#a0a0a0" stroked="f"/>
        </w:pict>
      </w:r>
    </w:p>
    <w:p w14:paraId="79811F2C"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Transparency and Limitations</w:t>
      </w:r>
    </w:p>
    <w:p w14:paraId="6995DF15" w14:textId="77777777" w:rsidR="00046DDA" w:rsidRPr="00046DDA" w:rsidRDefault="00046DDA" w:rsidP="00046DDA">
      <w:pPr>
        <w:numPr>
          <w:ilvl w:val="0"/>
          <w:numId w:val="10"/>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This review does not claim consent is sufficient for stability, only that it may be necessary</w:t>
      </w:r>
    </w:p>
    <w:p w14:paraId="359C0B76" w14:textId="77777777" w:rsidR="00046DDA" w:rsidRPr="00046DDA" w:rsidRDefault="00046DDA" w:rsidP="00046DDA">
      <w:pPr>
        <w:numPr>
          <w:ilvl w:val="0"/>
          <w:numId w:val="10"/>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Measurement of exit and repair is expected to be limited and will be explicitly noted</w:t>
      </w:r>
    </w:p>
    <w:p w14:paraId="3E7077BF" w14:textId="77777777" w:rsidR="00046DDA" w:rsidRPr="00046DDA" w:rsidRDefault="00046DDA" w:rsidP="00046DDA">
      <w:pPr>
        <w:numPr>
          <w:ilvl w:val="0"/>
          <w:numId w:val="10"/>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Findings will be reported regardless of outcome direction</w:t>
      </w:r>
    </w:p>
    <w:p w14:paraId="7BAEB7F8"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7466C7ED">
          <v:rect id="_x0000_i1037" alt="" style="width:468pt;height:.05pt;mso-width-percent:0;mso-height-percent:0;mso-width-percent:0;mso-height-percent:0" o:hralign="center" o:hrstd="t" o:hr="t" fillcolor="#a0a0a0" stroked="f"/>
        </w:pict>
      </w:r>
    </w:p>
    <w:p w14:paraId="78D4A046"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lastRenderedPageBreak/>
        <w:t>Planned Outputs</w:t>
      </w:r>
    </w:p>
    <w:p w14:paraId="10158EF3" w14:textId="77777777" w:rsidR="00046DDA" w:rsidRPr="00046DDA" w:rsidRDefault="00046DDA" w:rsidP="00046DDA">
      <w:pPr>
        <w:numPr>
          <w:ilvl w:val="0"/>
          <w:numId w:val="11"/>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Umbrella review manuscript</w:t>
      </w:r>
    </w:p>
    <w:p w14:paraId="2619BAF3" w14:textId="77777777" w:rsidR="00046DDA" w:rsidRPr="00046DDA" w:rsidRDefault="00046DDA" w:rsidP="00046DDA">
      <w:pPr>
        <w:numPr>
          <w:ilvl w:val="0"/>
          <w:numId w:val="11"/>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Consent Index construct specification</w:t>
      </w:r>
    </w:p>
    <w:p w14:paraId="4425B85F" w14:textId="77777777" w:rsidR="00046DDA" w:rsidRPr="00046DDA" w:rsidRDefault="00046DDA" w:rsidP="00046DDA">
      <w:pPr>
        <w:numPr>
          <w:ilvl w:val="0"/>
          <w:numId w:val="11"/>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Research gap analysis</w:t>
      </w:r>
    </w:p>
    <w:p w14:paraId="761EE1E9" w14:textId="77777777" w:rsidR="00046DDA" w:rsidRPr="00046DDA" w:rsidRDefault="00046DDA" w:rsidP="00046DDA">
      <w:pPr>
        <w:numPr>
          <w:ilvl w:val="0"/>
          <w:numId w:val="11"/>
        </w:num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Experimental agenda for testing consensual witness systems</w:t>
      </w:r>
    </w:p>
    <w:p w14:paraId="19CD99D7" w14:textId="77777777" w:rsidR="00046DDA" w:rsidRPr="00046DDA" w:rsidRDefault="00046DDA" w:rsidP="00046DDA">
      <w:pPr>
        <w:spacing w:after="0" w:line="240" w:lineRule="auto"/>
        <w:rPr>
          <w:rFonts w:eastAsia="Times New Roman" w:cs="Times New Roman"/>
          <w:kern w:val="0"/>
          <w14:ligatures w14:val="none"/>
        </w:rPr>
      </w:pPr>
      <w:r w:rsidRPr="00046DDA">
        <w:rPr>
          <w:rFonts w:eastAsia="Times New Roman" w:cs="Times New Roman"/>
          <w:noProof/>
          <w:kern w:val="0"/>
          <w14:ligatures w14:val="none"/>
        </w:rPr>
      </w:r>
      <w:r w:rsidR="00046DDA" w:rsidRPr="00046DDA">
        <w:rPr>
          <w:rFonts w:eastAsia="Times New Roman" w:cs="Times New Roman"/>
          <w:noProof/>
          <w:kern w:val="0"/>
          <w14:ligatures w14:val="none"/>
        </w:rPr>
        <w:pict w14:anchorId="2610BB25">
          <v:rect id="_x0000_i1038" alt="" style="width:468pt;height:.05pt;mso-width-percent:0;mso-height-percent:0;mso-width-percent:0;mso-height-percent:0" o:hralign="center" o:hrstd="t" o:hr="t" fillcolor="#a0a0a0" stroked="f"/>
        </w:pict>
      </w:r>
    </w:p>
    <w:p w14:paraId="7F9379AF" w14:textId="77777777" w:rsidR="00046DDA" w:rsidRPr="00046DDA" w:rsidRDefault="00046DDA" w:rsidP="00046DDA">
      <w:pPr>
        <w:spacing w:before="100" w:beforeAutospacing="1" w:after="100" w:afterAutospacing="1" w:line="240" w:lineRule="auto"/>
        <w:outlineLvl w:val="1"/>
        <w:rPr>
          <w:rFonts w:eastAsia="Times New Roman" w:cs="Times New Roman"/>
          <w:b/>
          <w:bCs/>
          <w:kern w:val="0"/>
          <w:sz w:val="36"/>
          <w:szCs w:val="36"/>
          <w14:ligatures w14:val="none"/>
        </w:rPr>
      </w:pPr>
      <w:r w:rsidRPr="00046DDA">
        <w:rPr>
          <w:rFonts w:eastAsia="Times New Roman" w:cs="Times New Roman"/>
          <w:b/>
          <w:bCs/>
          <w:kern w:val="0"/>
          <w:sz w:val="36"/>
          <w:szCs w:val="36"/>
          <w14:ligatures w14:val="none"/>
        </w:rPr>
        <w:t>Summary Statement</w:t>
      </w:r>
    </w:p>
    <w:p w14:paraId="57B031B3" w14:textId="77777777" w:rsidR="00046DDA" w:rsidRPr="00046DDA" w:rsidRDefault="00046DDA" w:rsidP="00046DDA">
      <w:pPr>
        <w:spacing w:before="100" w:beforeAutospacing="1" w:after="100" w:afterAutospacing="1" w:line="240" w:lineRule="auto"/>
        <w:rPr>
          <w:rFonts w:eastAsia="Times New Roman" w:cs="Times New Roman"/>
          <w:kern w:val="0"/>
          <w14:ligatures w14:val="none"/>
        </w:rPr>
      </w:pPr>
      <w:r w:rsidRPr="00046DDA">
        <w:rPr>
          <w:rFonts w:eastAsia="Times New Roman" w:cs="Times New Roman"/>
          <w:kern w:val="0"/>
          <w14:ligatures w14:val="none"/>
        </w:rPr>
        <w:t>This study evaluates whether consent can be treated as a first-class stability property of living systems—grounded not in moral assertion, but in convergent empirical evidence across domains.</w:t>
      </w:r>
    </w:p>
    <w:p w14:paraId="164DF96C" w14:textId="1D6F74EC" w:rsidR="00927527" w:rsidRPr="00046DDA" w:rsidRDefault="00927527"/>
    <w:sectPr w:rsidR="00927527" w:rsidRPr="00046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602C"/>
    <w:multiLevelType w:val="multilevel"/>
    <w:tmpl w:val="7A9E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56B22"/>
    <w:multiLevelType w:val="multilevel"/>
    <w:tmpl w:val="79A6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602BF"/>
    <w:multiLevelType w:val="multilevel"/>
    <w:tmpl w:val="2A9C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EC6256"/>
    <w:multiLevelType w:val="multilevel"/>
    <w:tmpl w:val="885A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D6DC5"/>
    <w:multiLevelType w:val="multilevel"/>
    <w:tmpl w:val="F9C4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61663"/>
    <w:multiLevelType w:val="multilevel"/>
    <w:tmpl w:val="1FA4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72B6E"/>
    <w:multiLevelType w:val="multilevel"/>
    <w:tmpl w:val="C516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2F5EE0"/>
    <w:multiLevelType w:val="multilevel"/>
    <w:tmpl w:val="1032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91730"/>
    <w:multiLevelType w:val="multilevel"/>
    <w:tmpl w:val="6BFA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B63461"/>
    <w:multiLevelType w:val="multilevel"/>
    <w:tmpl w:val="5808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63859"/>
    <w:multiLevelType w:val="multilevel"/>
    <w:tmpl w:val="BE5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283180">
    <w:abstractNumId w:val="2"/>
  </w:num>
  <w:num w:numId="2" w16cid:durableId="576091776">
    <w:abstractNumId w:val="0"/>
  </w:num>
  <w:num w:numId="3" w16cid:durableId="181629900">
    <w:abstractNumId w:val="5"/>
  </w:num>
  <w:num w:numId="4" w16cid:durableId="1238436915">
    <w:abstractNumId w:val="1"/>
  </w:num>
  <w:num w:numId="5" w16cid:durableId="684862395">
    <w:abstractNumId w:val="3"/>
  </w:num>
  <w:num w:numId="6" w16cid:durableId="352608898">
    <w:abstractNumId w:val="8"/>
  </w:num>
  <w:num w:numId="7" w16cid:durableId="2007203781">
    <w:abstractNumId w:val="9"/>
  </w:num>
  <w:num w:numId="8" w16cid:durableId="879586993">
    <w:abstractNumId w:val="10"/>
  </w:num>
  <w:num w:numId="9" w16cid:durableId="292247179">
    <w:abstractNumId w:val="6"/>
  </w:num>
  <w:num w:numId="10" w16cid:durableId="1746416021">
    <w:abstractNumId w:val="7"/>
  </w:num>
  <w:num w:numId="11" w16cid:durableId="1195581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DDA"/>
    <w:rsid w:val="00046DDA"/>
    <w:rsid w:val="007E3449"/>
    <w:rsid w:val="00927527"/>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D7004"/>
  <w15:chartTrackingRefBased/>
  <w15:docId w15:val="{581B4C7A-915F-4B45-972D-0E234170C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6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6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6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DDA"/>
    <w:rPr>
      <w:rFonts w:eastAsiaTheme="majorEastAsia" w:cstheme="majorBidi"/>
      <w:color w:val="272727" w:themeColor="text1" w:themeTint="D8"/>
    </w:rPr>
  </w:style>
  <w:style w:type="paragraph" w:styleId="Title">
    <w:name w:val="Title"/>
    <w:basedOn w:val="Normal"/>
    <w:next w:val="Normal"/>
    <w:link w:val="TitleChar"/>
    <w:uiPriority w:val="10"/>
    <w:qFormat/>
    <w:rsid w:val="00046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DDA"/>
    <w:pPr>
      <w:spacing w:before="160"/>
      <w:jc w:val="center"/>
    </w:pPr>
    <w:rPr>
      <w:i/>
      <w:iCs/>
      <w:color w:val="404040" w:themeColor="text1" w:themeTint="BF"/>
    </w:rPr>
  </w:style>
  <w:style w:type="character" w:customStyle="1" w:styleId="QuoteChar">
    <w:name w:val="Quote Char"/>
    <w:basedOn w:val="DefaultParagraphFont"/>
    <w:link w:val="Quote"/>
    <w:uiPriority w:val="29"/>
    <w:rsid w:val="00046DDA"/>
    <w:rPr>
      <w:i/>
      <w:iCs/>
      <w:color w:val="404040" w:themeColor="text1" w:themeTint="BF"/>
    </w:rPr>
  </w:style>
  <w:style w:type="paragraph" w:styleId="ListParagraph">
    <w:name w:val="List Paragraph"/>
    <w:basedOn w:val="Normal"/>
    <w:uiPriority w:val="34"/>
    <w:qFormat/>
    <w:rsid w:val="00046DDA"/>
    <w:pPr>
      <w:ind w:left="720"/>
      <w:contextualSpacing/>
    </w:pPr>
  </w:style>
  <w:style w:type="character" w:styleId="IntenseEmphasis">
    <w:name w:val="Intense Emphasis"/>
    <w:basedOn w:val="DefaultParagraphFont"/>
    <w:uiPriority w:val="21"/>
    <w:qFormat/>
    <w:rsid w:val="00046DDA"/>
    <w:rPr>
      <w:i/>
      <w:iCs/>
      <w:color w:val="0F4761" w:themeColor="accent1" w:themeShade="BF"/>
    </w:rPr>
  </w:style>
  <w:style w:type="paragraph" w:styleId="IntenseQuote">
    <w:name w:val="Intense Quote"/>
    <w:basedOn w:val="Normal"/>
    <w:next w:val="Normal"/>
    <w:link w:val="IntenseQuoteChar"/>
    <w:uiPriority w:val="30"/>
    <w:qFormat/>
    <w:rsid w:val="00046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DDA"/>
    <w:rPr>
      <w:i/>
      <w:iCs/>
      <w:color w:val="0F4761" w:themeColor="accent1" w:themeShade="BF"/>
    </w:rPr>
  </w:style>
  <w:style w:type="character" w:styleId="IntenseReference">
    <w:name w:val="Intense Reference"/>
    <w:basedOn w:val="DefaultParagraphFont"/>
    <w:uiPriority w:val="32"/>
    <w:qFormat/>
    <w:rsid w:val="00046DDA"/>
    <w:rPr>
      <w:b/>
      <w:bCs/>
      <w:smallCaps/>
      <w:color w:val="0F4761" w:themeColor="accent1" w:themeShade="BF"/>
      <w:spacing w:val="5"/>
    </w:rPr>
  </w:style>
  <w:style w:type="character" w:styleId="Strong">
    <w:name w:val="Strong"/>
    <w:basedOn w:val="DefaultParagraphFont"/>
    <w:uiPriority w:val="22"/>
    <w:qFormat/>
    <w:rsid w:val="00046DDA"/>
    <w:rPr>
      <w:b/>
      <w:bCs/>
    </w:rPr>
  </w:style>
  <w:style w:type="paragraph" w:styleId="NormalWeb">
    <w:name w:val="Normal (Web)"/>
    <w:basedOn w:val="Normal"/>
    <w:uiPriority w:val="99"/>
    <w:semiHidden/>
    <w:unhideWhenUsed/>
    <w:rsid w:val="00046DD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46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46DD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46D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938</Words>
  <Characters>5350</Characters>
  <Application>Microsoft Office Word</Application>
  <DocSecurity>0</DocSecurity>
  <Lines>44</Lines>
  <Paragraphs>12</Paragraphs>
  <ScaleCrop>false</ScaleCrop>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2025-12-23T16:09:00Z</dcterms:created>
  <dcterms:modified xsi:type="dcterms:W3CDTF">2025-12-23T16:11:00Z</dcterms:modified>
</cp:coreProperties>
</file>