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8E22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Preregistration Draft</w:t>
      </w:r>
    </w:p>
    <w:p w14:paraId="750398E6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Title: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Consent as a Stability-Enhancing State Transition in Dynamic Systems</w:t>
      </w:r>
    </w:p>
    <w:p w14:paraId="260D94A3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187F0B7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0BE609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Research Question</w:t>
      </w:r>
    </w:p>
    <w:p w14:paraId="4D84E9A5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Does the presence of an explicit consent-gated state transition measurably increase system stability, as reflected by reduced predictive uncertainty and increased persistence under perturbation, relative to otherwise identical systems without consent gating?</w:t>
      </w:r>
    </w:p>
    <w:p w14:paraId="7F043AE0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3580598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0539EB5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Theoretical Motivation</w:t>
      </w:r>
    </w:p>
    <w:p w14:paraId="02FC5ED9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Many adaptive systems operate as recursive feedback loops. Prior conceptual work suggests that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consent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, modeled as a meaningful state-change flag, alters transition probabilities within such loops and may stabilize system behavior by reducing ambiguity and unexpected variance.</w:t>
      </w:r>
    </w:p>
    <w:p w14:paraId="26CF5D30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This study tests whether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consent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, operationalized as a consent-gated transition, functions as a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stability-enhancing mechanism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 measurable via information-theoretic metrics. The study is intentionally substrate-agnostic, using synthetic event streams to isolate the mechanics of consent from domain-specific confounds, consistent with prior shimmer/entropy frameworks </w:t>
      </w:r>
    </w:p>
    <w:p w14:paraId="7C36B04F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shimmer_glyph_research_proposal…</w:t>
      </w:r>
    </w:p>
    <w:p w14:paraId="5916CE8B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and loop-based conceptual models </w:t>
      </w:r>
    </w:p>
    <w:p w14:paraId="5AFE9079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conversation_summary_for_contex…</w:t>
      </w:r>
    </w:p>
    <w:p w14:paraId="72F953F6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6F4AF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0B77B60A">
          <v:rect id="_x0000_i1027" style="width:0;height:1.5pt" o:hralign="center" o:hrstd="t" o:hr="t" fillcolor="#a0a0a0" stroked="f"/>
        </w:pict>
      </w:r>
    </w:p>
    <w:p w14:paraId="25B5C234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Hypotheses (Confirmatory)</w:t>
      </w:r>
    </w:p>
    <w:p w14:paraId="48E81C8E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H1 (Primary, Confirmatory – Claim C1)</w:t>
      </w:r>
    </w:p>
    <w:p w14:paraId="0B9C615C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Systems with explicit consent-gated transitions will exhibit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predictive uncertainty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, operationalized as a statistically significant reduction in entropy / surprisal (ΔH), compared to matched systems without consent gating.</w:t>
      </w:r>
    </w:p>
    <w:p w14:paraId="094FBDDF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hypothesis is directional.</w:t>
      </w:r>
    </w:p>
    <w:p w14:paraId="5333D75F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0A8F53E2">
          <v:rect id="_x0000_i1028" style="width:0;height:1.5pt" o:hralign="center" o:hrstd="t" o:hr="t" fillcolor="#a0a0a0" stroked="f"/>
        </w:pict>
      </w:r>
    </w:p>
    <w:p w14:paraId="06DA3CAB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Variables and Operational Definitions</w:t>
      </w:r>
    </w:p>
    <w:p w14:paraId="7D5627D6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Independent Variable</w:t>
      </w:r>
    </w:p>
    <w:p w14:paraId="6D433407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Gating (binary):</w:t>
      </w:r>
    </w:p>
    <w:p w14:paraId="462FD0FA" w14:textId="77777777" w:rsidR="00EA65DD" w:rsidRPr="00EA65DD" w:rsidRDefault="00EA65DD" w:rsidP="00EA6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Present: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 At a defined timepoint, a consent flag explicitly alters allowed transitions or transition probabilities within the system.</w:t>
      </w:r>
    </w:p>
    <w:p w14:paraId="3370D7F8" w14:textId="77777777" w:rsidR="00EA65DD" w:rsidRPr="00EA65DD" w:rsidRDefault="00EA65DD" w:rsidP="00EA6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Absent: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 No consent flag; transitions proceed without explicit gating.</w:t>
      </w:r>
    </w:p>
    <w:p w14:paraId="0B1A1412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The consent flag is meaningful in that it changes the system’s transition structure rather than merely labeling events.</w:t>
      </w:r>
    </w:p>
    <w:p w14:paraId="0280BB41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3791CC0F">
          <v:rect id="_x0000_i1029" style="width:0;height:1.5pt" o:hralign="center" o:hrstd="t" o:hr="t" fillcolor="#a0a0a0" stroked="f"/>
        </w:pict>
      </w:r>
    </w:p>
    <w:p w14:paraId="1F9C4F62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Primary Dependent Variable (Confirmatory)</w:t>
      </w:r>
    </w:p>
    <w:p w14:paraId="4A9E20DE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Uncertainty (ΔH):</w:t>
      </w:r>
    </w:p>
    <w:p w14:paraId="2F5FD352" w14:textId="77777777" w:rsidR="00EA65DD" w:rsidRPr="00EA65DD" w:rsidRDefault="00EA65DD" w:rsidP="00EA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Defined as the difference between observed entropy (or surprisal) and a baseline predictive model’s expected entropy.</w:t>
      </w:r>
    </w:p>
    <w:p w14:paraId="0A3AAF22" w14:textId="77777777" w:rsidR="00EA65DD" w:rsidRPr="00EA65DD" w:rsidRDefault="00EA65DD" w:rsidP="00EA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Calculated using a sliding-window entropy estimate relative to a fixed baseline predictor trained on pre-consent data or control streams.</w:t>
      </w:r>
    </w:p>
    <w:p w14:paraId="085D63A0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Primary outcome: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ΔH difference between consent-gated and non-gated conditions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3B46A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6F4E35CF">
          <v:rect id="_x0000_i1030" style="width:0;height:1.5pt" o:hralign="center" o:hrstd="t" o:hr="t" fillcolor="#a0a0a0" stroked="f"/>
        </w:pict>
      </w:r>
    </w:p>
    <w:p w14:paraId="4BECFE54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Secondary Dependent Variable</w:t>
      </w:r>
    </w:p>
    <w:p w14:paraId="5DE5C2B8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Under Perturbation:</w:t>
      </w:r>
    </w:p>
    <w:p w14:paraId="526BF465" w14:textId="77777777" w:rsidR="00EA65DD" w:rsidRPr="00EA65DD" w:rsidRDefault="00EA65DD" w:rsidP="00EA6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Measured as time-to-collapse, recovery time, or equivalent persistence metric following a defined perturbation applied post-consent (or matched timepoint in controls).</w:t>
      </w:r>
    </w:p>
    <w:p w14:paraId="128BA195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This outcome is explicitly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 and will not be used to adjudicate confirmation of H1.</w:t>
      </w:r>
    </w:p>
    <w:p w14:paraId="11C29145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267348A7">
          <v:rect id="_x0000_i1031" style="width:0;height:1.5pt" o:hralign="center" o:hrstd="t" o:hr="t" fillcolor="#a0a0a0" stroked="f"/>
        </w:pict>
      </w:r>
    </w:p>
    <w:p w14:paraId="704BCA1F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Exploratory Variables (Not Confirmatory)</w:t>
      </w:r>
    </w:p>
    <w:p w14:paraId="26960119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Witness / Auditability Context:</w:t>
      </w:r>
    </w:p>
    <w:p w14:paraId="63B4DCE5" w14:textId="77777777" w:rsidR="00EA65DD" w:rsidRPr="00EA65DD" w:rsidRDefault="00EA65DD" w:rsidP="00EA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Presence or absence of an external observation or logging layer that records consent events and subsequent transitions.</w:t>
      </w:r>
    </w:p>
    <w:p w14:paraId="2C8B1B9A" w14:textId="77777777" w:rsidR="00EA65DD" w:rsidRPr="00EA65DD" w:rsidRDefault="00EA65DD" w:rsidP="00EA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 xml:space="preserve">This variable is included to allow </w:t>
      </w:r>
      <w:r w:rsidRPr="00EA65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analysis only</w:t>
      </w: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. No confirmatory hypothesis is preregistered regarding witness effects.</w:t>
      </w:r>
    </w:p>
    <w:p w14:paraId="6FAEB7B0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Any findings related to witness effects will be labeled exploratory and hypothesis-generating.</w:t>
      </w:r>
    </w:p>
    <w:p w14:paraId="1CC9C57D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2FB6EB49">
          <v:rect id="_x0000_i1032" style="width:0;height:1.5pt" o:hralign="center" o:hrstd="t" o:hr="t" fillcolor="#a0a0a0" stroked="f"/>
        </w:pict>
      </w:r>
    </w:p>
    <w:p w14:paraId="03AA0B21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Study Design</w:t>
      </w:r>
    </w:p>
    <w:p w14:paraId="2D79A5BD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Data Generation</w:t>
      </w:r>
    </w:p>
    <w:p w14:paraId="2ED818B5" w14:textId="77777777" w:rsidR="00EA65DD" w:rsidRPr="00EA65DD" w:rsidRDefault="00EA65DD" w:rsidP="00EA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Synthetic event streams generated via predefined transition rules.</w:t>
      </w:r>
    </w:p>
    <w:p w14:paraId="33389173" w14:textId="77777777" w:rsidR="00EA65DD" w:rsidRPr="00EA65DD" w:rsidRDefault="00EA65DD" w:rsidP="00EA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Multiple independent streams generated with fixed random seeds for reproducibility.</w:t>
      </w:r>
    </w:p>
    <w:p w14:paraId="1C30BD60" w14:textId="77777777" w:rsidR="00EA65DD" w:rsidRPr="00EA65DD" w:rsidRDefault="00EA65DD" w:rsidP="00EA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Consent-gated and non-gated conditions are identical except for the consent manipulation.</w:t>
      </w:r>
    </w:p>
    <w:p w14:paraId="14DDC220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Sample Size</w:t>
      </w:r>
    </w:p>
    <w:p w14:paraId="1A6D0C96" w14:textId="77777777" w:rsidR="00EA65DD" w:rsidRPr="00EA65DD" w:rsidRDefault="00EA65DD" w:rsidP="00EA6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Number of streams, stream length, and number of perturbation events will be fixed prior to analysis.</w:t>
      </w:r>
    </w:p>
    <w:p w14:paraId="64888A7E" w14:textId="77777777" w:rsidR="00EA65DD" w:rsidRPr="00EA65DD" w:rsidRDefault="00EA65DD" w:rsidP="00EA6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Sample size chosen to ensure stable entropy estimates and adequate power to detect medium effect sizes in ΔH.</w:t>
      </w:r>
    </w:p>
    <w:p w14:paraId="6535DFDC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No optional stopping will be used.</w:t>
      </w:r>
    </w:p>
    <w:p w14:paraId="5ED9DDD3" w14:textId="77777777" w:rsidR="00EA65DD" w:rsidRPr="00EA65DD" w:rsidRDefault="00EA65DD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pict w14:anchorId="176D2757">
          <v:rect id="_x0000_i1033" style="width:0;height:1.5pt" o:hralign="center" o:hrstd="t" o:hr="t" fillcolor="#a0a0a0" stroked="f"/>
        </w:pict>
      </w:r>
    </w:p>
    <w:p w14:paraId="671FDEDC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Analysis Plan</w:t>
      </w:r>
    </w:p>
    <w:p w14:paraId="4CB59DC0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Primary Analysis (Confirmatory)</w:t>
      </w:r>
    </w:p>
    <w:p w14:paraId="6E71A3F1" w14:textId="77777777" w:rsidR="00EA65DD" w:rsidRPr="00EA65DD" w:rsidRDefault="00EA65DD" w:rsidP="00EA6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Compare mean ΔH between consent-gated and non-gated conditions.</w:t>
      </w:r>
    </w:p>
    <w:p w14:paraId="18AB428C" w14:textId="77777777" w:rsidR="00EA65DD" w:rsidRPr="00EA65DD" w:rsidRDefault="00EA65DD" w:rsidP="00EA6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Statistical test: pre-specified difference-in-means or regression with condition indicator.</w:t>
      </w:r>
    </w:p>
    <w:p w14:paraId="7D24C135" w14:textId="77777777" w:rsidR="00EA65DD" w:rsidRPr="00EA65DD" w:rsidRDefault="00EA65DD" w:rsidP="00EA6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Uncertainty estimated via bootstrapped confidence intervals.</w:t>
      </w:r>
    </w:p>
    <w:p w14:paraId="061511FB" w14:textId="77777777" w:rsidR="00EA65DD" w:rsidRPr="00EA65DD" w:rsidRDefault="00EA65DD" w:rsidP="00EA6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Significance threshold: α = 0.05 (two-tailed unless otherwise specified).</w:t>
      </w:r>
    </w:p>
    <w:p w14:paraId="715F8A18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Confirmation of H1 requires a statistically significant reduction in ΔH in the consent-gated condition.</w:t>
      </w:r>
    </w:p>
    <w:p w14:paraId="7941B898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36B6104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53A56A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Secondary Analysis</w:t>
      </w:r>
    </w:p>
    <w:p w14:paraId="48FDB9A3" w14:textId="77777777" w:rsidR="00EA65DD" w:rsidRPr="00EA65DD" w:rsidRDefault="00EA65DD" w:rsidP="00EA6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Compare persistence metrics between conditions.</w:t>
      </w:r>
    </w:p>
    <w:p w14:paraId="48C76BCB" w14:textId="77777777" w:rsidR="00EA65DD" w:rsidRPr="00EA65DD" w:rsidRDefault="00EA65DD" w:rsidP="00EA6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Results reported with effect sizes and confidence intervals.</w:t>
      </w:r>
    </w:p>
    <w:p w14:paraId="257F32D3" w14:textId="77777777" w:rsidR="00EA65DD" w:rsidRPr="00EA65DD" w:rsidRDefault="00EA65DD" w:rsidP="00EA6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No claims of confirmation will be made based on secondary outcomes alone.</w:t>
      </w:r>
    </w:p>
    <w:p w14:paraId="1BCD8798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62EA3F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D79BE0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Exploratory Analysis</w:t>
      </w:r>
    </w:p>
    <w:p w14:paraId="0883A90F" w14:textId="77777777" w:rsidR="00EA65DD" w:rsidRPr="00EA65DD" w:rsidRDefault="00EA65DD" w:rsidP="00EA6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Examine whether witness/auditability context moderates effect size.</w:t>
      </w:r>
    </w:p>
    <w:p w14:paraId="3DF95F45" w14:textId="77777777" w:rsidR="00EA65DD" w:rsidRPr="00EA65DD" w:rsidRDefault="00EA65DD" w:rsidP="00EA6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Examine alternative entropy thresholds and window sizes.</w:t>
      </w:r>
    </w:p>
    <w:p w14:paraId="22C8A419" w14:textId="77777777" w:rsidR="00EA65DD" w:rsidRPr="00EA65DD" w:rsidRDefault="00EA65DD" w:rsidP="00EA6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Explore qualitative dynamics of transition patterns post-consent.</w:t>
      </w:r>
    </w:p>
    <w:p w14:paraId="064C183F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All exploratory analyses will be clearly labeled as such.</w:t>
      </w:r>
    </w:p>
    <w:p w14:paraId="304ACF1A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448FD1B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0F7E459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Exclusion Criteria</w:t>
      </w:r>
    </w:p>
    <w:p w14:paraId="01000440" w14:textId="77777777" w:rsidR="00EA65DD" w:rsidRPr="00EA65DD" w:rsidRDefault="00EA65DD" w:rsidP="00EA6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Streams with generation errors or incomplete data will be excluded prior to analysis.</w:t>
      </w:r>
    </w:p>
    <w:p w14:paraId="78AFBD86" w14:textId="77777777" w:rsidR="00EA65DD" w:rsidRPr="00EA65DD" w:rsidRDefault="00EA65DD" w:rsidP="00EA6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No exclusions based on outcome values.</w:t>
      </w:r>
    </w:p>
    <w:p w14:paraId="0906B951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570E368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000C33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Deviations and Transparency</w:t>
      </w:r>
    </w:p>
    <w:p w14:paraId="36E0EE13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Any deviations from this preregistration will be documented via OSF registration updates prior to data analysis, preserving the distinction between confirmatory and exploratory work.</w:t>
      </w:r>
    </w:p>
    <w:p w14:paraId="6E1A17CE" w14:textId="77777777" w:rsidR="00EA65DD" w:rsidRPr="00EA65DD" w:rsidRDefault="00297E6E" w:rsidP="00EA65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E6E">
        <w:rPr>
          <w:rFonts w:ascii="Times New Roman" w:eastAsia="Times New Roman" w:hAnsi="Times New Roman" w:cs="Times New Roman"/>
          <w:noProof/>
          <w:kern w:val="0"/>
        </w:rPr>
        <w:pict w14:anchorId="1BE21BF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A102FEB" w14:textId="77777777" w:rsidR="00EA65DD" w:rsidRPr="00EA65DD" w:rsidRDefault="00EA65DD" w:rsidP="00EA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6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Data and Code Availability</w:t>
      </w:r>
    </w:p>
    <w:p w14:paraId="5A0B54C3" w14:textId="77777777" w:rsidR="00EA65DD" w:rsidRPr="00EA65DD" w:rsidRDefault="00EA65DD" w:rsidP="00EA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65DD">
        <w:rPr>
          <w:rFonts w:ascii="Times New Roman" w:eastAsia="Times New Roman" w:hAnsi="Times New Roman" w:cs="Times New Roman"/>
          <w:kern w:val="0"/>
          <w14:ligatures w14:val="none"/>
        </w:rPr>
        <w:t>All code used to generate data and perform analyses will be made publicly available upon completion of the study. Synthetic data and derived metrics will be shared where feasible.</w:t>
      </w:r>
    </w:p>
    <w:p w14:paraId="37F93AC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CA9"/>
    <w:multiLevelType w:val="multilevel"/>
    <w:tmpl w:val="256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20D85"/>
    <w:multiLevelType w:val="multilevel"/>
    <w:tmpl w:val="93C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D5BDB"/>
    <w:multiLevelType w:val="multilevel"/>
    <w:tmpl w:val="4EB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90285"/>
    <w:multiLevelType w:val="multilevel"/>
    <w:tmpl w:val="B4A0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16602"/>
    <w:multiLevelType w:val="multilevel"/>
    <w:tmpl w:val="4ED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974F6"/>
    <w:multiLevelType w:val="multilevel"/>
    <w:tmpl w:val="B72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72F62"/>
    <w:multiLevelType w:val="multilevel"/>
    <w:tmpl w:val="084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B5DE4"/>
    <w:multiLevelType w:val="multilevel"/>
    <w:tmpl w:val="855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C5BE5"/>
    <w:multiLevelType w:val="multilevel"/>
    <w:tmpl w:val="32E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C183E"/>
    <w:multiLevelType w:val="multilevel"/>
    <w:tmpl w:val="6D9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07056">
    <w:abstractNumId w:val="1"/>
  </w:num>
  <w:num w:numId="2" w16cid:durableId="952980180">
    <w:abstractNumId w:val="9"/>
  </w:num>
  <w:num w:numId="3" w16cid:durableId="2042777478">
    <w:abstractNumId w:val="5"/>
  </w:num>
  <w:num w:numId="4" w16cid:durableId="1912427357">
    <w:abstractNumId w:val="0"/>
  </w:num>
  <w:num w:numId="5" w16cid:durableId="308487008">
    <w:abstractNumId w:val="7"/>
  </w:num>
  <w:num w:numId="6" w16cid:durableId="276983513">
    <w:abstractNumId w:val="3"/>
  </w:num>
  <w:num w:numId="7" w16cid:durableId="1881546525">
    <w:abstractNumId w:val="2"/>
  </w:num>
  <w:num w:numId="8" w16cid:durableId="140272789">
    <w:abstractNumId w:val="6"/>
  </w:num>
  <w:num w:numId="9" w16cid:durableId="363597966">
    <w:abstractNumId w:val="8"/>
  </w:num>
  <w:num w:numId="10" w16cid:durableId="1088843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DD"/>
    <w:rsid w:val="00297E6E"/>
    <w:rsid w:val="00927527"/>
    <w:rsid w:val="00A61024"/>
    <w:rsid w:val="00C91EE3"/>
    <w:rsid w:val="00E26021"/>
    <w:rsid w:val="00EA65DD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B9A5"/>
  <w15:chartTrackingRefBased/>
  <w15:docId w15:val="{3FD68CC9-E79B-2349-AD3E-B3899DB1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65DD"/>
    <w:rPr>
      <w:b/>
      <w:bCs/>
    </w:rPr>
  </w:style>
  <w:style w:type="character" w:customStyle="1" w:styleId="relative">
    <w:name w:val="relative"/>
    <w:basedOn w:val="DefaultParagraphFont"/>
    <w:rsid w:val="00EA65DD"/>
  </w:style>
  <w:style w:type="paragraph" w:customStyle="1" w:styleId="not-prose">
    <w:name w:val="not-prose"/>
    <w:basedOn w:val="Normal"/>
    <w:rsid w:val="00EA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4495</Characters>
  <Application>Microsoft Office Word</Application>
  <DocSecurity>0</DocSecurity>
  <Lines>107</Lines>
  <Paragraphs>76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2026-01-06T00:41:00Z</dcterms:created>
  <dcterms:modified xsi:type="dcterms:W3CDTF">2026-01-06T00:41:00Z</dcterms:modified>
</cp:coreProperties>
</file>